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9CA15" w14:textId="77777777" w:rsidR="00EE692F" w:rsidRPr="008C3E92" w:rsidRDefault="00EE692F" w:rsidP="00A47BC2">
      <w:pPr>
        <w:pStyle w:val="Tijeloteksta4"/>
        <w:shd w:val="clear" w:color="auto" w:fill="auto"/>
        <w:spacing w:after="120" w:line="259" w:lineRule="auto"/>
        <w:ind w:left="380" w:right="20" w:firstLine="0"/>
        <w:rPr>
          <w:color w:val="auto"/>
          <w:sz w:val="24"/>
          <w:szCs w:val="24"/>
          <w:lang w:val="hr-HR"/>
        </w:rPr>
      </w:pPr>
    </w:p>
    <w:p w14:paraId="1260985E" w14:textId="7A055BD8" w:rsidR="002846AC" w:rsidRPr="008C3E92" w:rsidRDefault="002555B0" w:rsidP="004E16A7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8C3E92">
        <w:rPr>
          <w:rFonts w:ascii="Times New Roman" w:hAnsi="Times New Roman" w:cs="Times New Roman"/>
          <w:b/>
          <w:color w:val="auto"/>
          <w:lang w:val="hr-HR"/>
        </w:rPr>
        <w:t xml:space="preserve">Program potpora </w:t>
      </w:r>
      <w:r w:rsidR="004B37C1" w:rsidRPr="008C3E92">
        <w:rPr>
          <w:rFonts w:ascii="Times New Roman" w:hAnsi="Times New Roman" w:cs="Times New Roman"/>
          <w:b/>
          <w:color w:val="auto"/>
          <w:lang w:val="hr-HR"/>
        </w:rPr>
        <w:t>male vrijed</w:t>
      </w:r>
      <w:r w:rsidR="004221FE" w:rsidRPr="008C3E92">
        <w:rPr>
          <w:rFonts w:ascii="Times New Roman" w:hAnsi="Times New Roman" w:cs="Times New Roman"/>
          <w:b/>
          <w:color w:val="auto"/>
          <w:lang w:val="hr-HR"/>
        </w:rPr>
        <w:t>n</w:t>
      </w:r>
      <w:r w:rsidR="004B37C1" w:rsidRPr="008C3E92">
        <w:rPr>
          <w:rFonts w:ascii="Times New Roman" w:hAnsi="Times New Roman" w:cs="Times New Roman"/>
          <w:b/>
          <w:color w:val="auto"/>
          <w:lang w:val="hr-HR"/>
        </w:rPr>
        <w:t>osti</w:t>
      </w:r>
    </w:p>
    <w:p w14:paraId="3BD91A61" w14:textId="116339D2" w:rsidR="002846AC" w:rsidRPr="008C3E92" w:rsidRDefault="004E16A7" w:rsidP="004E16A7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8C3E92">
        <w:rPr>
          <w:rFonts w:ascii="Times New Roman" w:hAnsi="Times New Roman" w:cs="Times New Roman"/>
          <w:b/>
          <w:color w:val="auto"/>
          <w:lang w:val="hr-HR"/>
        </w:rPr>
        <w:t>za pomoć pogođenoj industriji kultu</w:t>
      </w:r>
      <w:r w:rsidR="00170D80" w:rsidRPr="008C3E92">
        <w:rPr>
          <w:rFonts w:ascii="Times New Roman" w:hAnsi="Times New Roman" w:cs="Times New Roman"/>
          <w:b/>
          <w:color w:val="auto"/>
          <w:lang w:val="hr-HR"/>
        </w:rPr>
        <w:t>rnih i umjetničkih događanja za</w:t>
      </w:r>
    </w:p>
    <w:p w14:paraId="18B10499" w14:textId="12D5D934" w:rsidR="002555B0" w:rsidRPr="008C3E92" w:rsidRDefault="004E16A7" w:rsidP="004E16A7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8C3E92">
        <w:rPr>
          <w:rFonts w:ascii="Times New Roman" w:hAnsi="Times New Roman" w:cs="Times New Roman"/>
          <w:b/>
          <w:color w:val="auto"/>
          <w:lang w:val="hr-HR"/>
        </w:rPr>
        <w:t xml:space="preserve">pokretanje i </w:t>
      </w:r>
      <w:r w:rsidR="002846AC" w:rsidRPr="008C3E92">
        <w:rPr>
          <w:rFonts w:ascii="Times New Roman" w:hAnsi="Times New Roman" w:cs="Times New Roman"/>
          <w:b/>
          <w:color w:val="auto"/>
          <w:lang w:val="hr-HR"/>
        </w:rPr>
        <w:t>n</w:t>
      </w:r>
      <w:r w:rsidRPr="008C3E92">
        <w:rPr>
          <w:rFonts w:ascii="Times New Roman" w:hAnsi="Times New Roman" w:cs="Times New Roman"/>
          <w:b/>
          <w:color w:val="auto"/>
          <w:lang w:val="hr-HR"/>
        </w:rPr>
        <w:t>ormalizaciju tekućeg poslovanja uslijed aktualne pandemije COVID-a 19</w:t>
      </w:r>
    </w:p>
    <w:p w14:paraId="13EFAB2E" w14:textId="77777777" w:rsidR="004E16A7" w:rsidRPr="008C3E92" w:rsidRDefault="004E16A7" w:rsidP="004E16A7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bookmarkStart w:id="0" w:name="bookmark1"/>
    </w:p>
    <w:p w14:paraId="2CE5EB7F" w14:textId="7B99588F" w:rsidR="00F37CA2" w:rsidRPr="008C3E92" w:rsidRDefault="00F37CA2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i w:val="0"/>
          <w:iCs w:val="0"/>
          <w:color w:val="auto"/>
          <w:lang w:val="hr-HR"/>
        </w:rPr>
      </w:pPr>
      <w:r w:rsidRPr="008C3E92">
        <w:rPr>
          <w:i w:val="0"/>
          <w:iCs w:val="0"/>
          <w:color w:val="auto"/>
          <w:lang w:val="hr-HR"/>
        </w:rPr>
        <w:t>Članak 1.</w:t>
      </w:r>
    </w:p>
    <w:p w14:paraId="2AD6C643" w14:textId="5B853E5B" w:rsidR="002179A6" w:rsidRPr="008C3E92" w:rsidRDefault="008A20F9" w:rsidP="00A47BC2">
      <w:pPr>
        <w:pStyle w:val="Heading20"/>
        <w:keepNext/>
        <w:keepLines/>
        <w:shd w:val="clear" w:color="auto" w:fill="auto"/>
        <w:spacing w:before="0" w:after="120" w:line="259" w:lineRule="auto"/>
        <w:rPr>
          <w:color w:val="auto"/>
          <w:lang w:val="hr-HR"/>
        </w:rPr>
      </w:pPr>
      <w:r w:rsidRPr="008C3E92">
        <w:rPr>
          <w:i w:val="0"/>
          <w:iCs w:val="0"/>
          <w:color w:val="auto"/>
          <w:lang w:val="hr-HR"/>
        </w:rPr>
        <w:t>Opće odredbe</w:t>
      </w:r>
      <w:bookmarkEnd w:id="0"/>
    </w:p>
    <w:p w14:paraId="43401513" w14:textId="51B19378" w:rsidR="002179A6" w:rsidRPr="008C3E92" w:rsidRDefault="00B41CF2" w:rsidP="004E16A7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 xml:space="preserve">Ovim </w:t>
      </w:r>
      <w:r w:rsidR="008A20F9" w:rsidRPr="008C3E92">
        <w:rPr>
          <w:color w:val="auto"/>
          <w:sz w:val="24"/>
          <w:szCs w:val="24"/>
          <w:lang w:val="hr-HR"/>
        </w:rPr>
        <w:t>Programom</w:t>
      </w:r>
      <w:r w:rsidR="002555B0" w:rsidRPr="008C3E92">
        <w:rPr>
          <w:color w:val="auto"/>
          <w:sz w:val="24"/>
          <w:szCs w:val="24"/>
          <w:lang w:val="hr-HR"/>
        </w:rPr>
        <w:t xml:space="preserve"> potpora </w:t>
      </w:r>
      <w:r w:rsidR="004B37C1" w:rsidRPr="008C3E92">
        <w:rPr>
          <w:color w:val="auto"/>
          <w:sz w:val="24"/>
          <w:szCs w:val="24"/>
          <w:lang w:val="hr-HR"/>
        </w:rPr>
        <w:t xml:space="preserve">male vrijednosti </w:t>
      </w:r>
      <w:r w:rsidR="002555B0" w:rsidRPr="008C3E92">
        <w:rPr>
          <w:color w:val="auto"/>
          <w:sz w:val="24"/>
          <w:szCs w:val="24"/>
          <w:lang w:val="hr-HR"/>
        </w:rPr>
        <w:t xml:space="preserve">za pomoć </w:t>
      </w:r>
      <w:r w:rsidR="004E16A7" w:rsidRPr="008C3E92">
        <w:rPr>
          <w:color w:val="auto"/>
          <w:sz w:val="24"/>
          <w:szCs w:val="24"/>
          <w:lang w:val="hr-HR"/>
        </w:rPr>
        <w:t xml:space="preserve">pogođenoj industriji kulturnih i umjetničkih događanja za pokretanje i normalizaciju tekućeg poslovanja uslijed aktualne pandemije COVID-a 19 </w:t>
      </w:r>
      <w:r w:rsidR="008A20F9" w:rsidRPr="008C3E92">
        <w:rPr>
          <w:color w:val="auto"/>
          <w:sz w:val="24"/>
          <w:szCs w:val="24"/>
          <w:lang w:val="hr-HR"/>
        </w:rPr>
        <w:t>(u daljnjem tekstu: Program) definiraju se ciljevi, uvjeti i postupci za dodjelu potpora</w:t>
      </w:r>
      <w:r w:rsidR="00E94B23" w:rsidRPr="008C3E92">
        <w:rPr>
          <w:color w:val="auto"/>
          <w:sz w:val="24"/>
          <w:szCs w:val="24"/>
          <w:lang w:val="hr-HR"/>
        </w:rPr>
        <w:t xml:space="preserve"> </w:t>
      </w:r>
      <w:r w:rsidR="004B37C1" w:rsidRPr="008C3E92">
        <w:rPr>
          <w:color w:val="auto"/>
          <w:sz w:val="24"/>
          <w:szCs w:val="24"/>
          <w:lang w:val="hr-HR"/>
        </w:rPr>
        <w:t xml:space="preserve">male vrijednosti </w:t>
      </w:r>
      <w:r w:rsidR="00E94B23" w:rsidRPr="008C3E92">
        <w:rPr>
          <w:color w:val="auto"/>
          <w:sz w:val="24"/>
          <w:szCs w:val="24"/>
          <w:lang w:val="hr-HR"/>
        </w:rPr>
        <w:t>(u daljnjem tekstu: potpor</w:t>
      </w:r>
      <w:r w:rsidR="004221FE" w:rsidRPr="008C3E92">
        <w:rPr>
          <w:color w:val="auto"/>
          <w:sz w:val="24"/>
          <w:szCs w:val="24"/>
          <w:lang w:val="hr-HR"/>
        </w:rPr>
        <w:t>e</w:t>
      </w:r>
      <w:r w:rsidR="00E94B23" w:rsidRPr="008C3E92">
        <w:rPr>
          <w:color w:val="auto"/>
          <w:sz w:val="24"/>
          <w:szCs w:val="24"/>
          <w:lang w:val="hr-HR"/>
        </w:rPr>
        <w:t>)</w:t>
      </w:r>
      <w:r w:rsidR="008A20F9" w:rsidRPr="008C3E92">
        <w:rPr>
          <w:color w:val="auto"/>
          <w:sz w:val="24"/>
          <w:szCs w:val="24"/>
          <w:lang w:val="hr-HR"/>
        </w:rPr>
        <w:t xml:space="preserve"> </w:t>
      </w:r>
      <w:r w:rsidR="002555B0" w:rsidRPr="008C3E92">
        <w:rPr>
          <w:color w:val="auto"/>
          <w:sz w:val="24"/>
          <w:szCs w:val="24"/>
          <w:lang w:val="hr-HR"/>
        </w:rPr>
        <w:t xml:space="preserve">u sklopu </w:t>
      </w:r>
      <w:r w:rsidR="0073614A" w:rsidRPr="008C3E92">
        <w:rPr>
          <w:color w:val="auto"/>
          <w:sz w:val="24"/>
          <w:szCs w:val="24"/>
          <w:lang w:val="hr-HR"/>
        </w:rPr>
        <w:t>Javnog</w:t>
      </w:r>
      <w:r w:rsidR="002555B0" w:rsidRPr="008C3E92">
        <w:rPr>
          <w:color w:val="auto"/>
          <w:sz w:val="24"/>
          <w:szCs w:val="24"/>
          <w:lang w:val="hr-HR"/>
        </w:rPr>
        <w:t xml:space="preserve"> poziv</w:t>
      </w:r>
      <w:r w:rsidR="0073614A" w:rsidRPr="008C3E92">
        <w:rPr>
          <w:color w:val="auto"/>
          <w:sz w:val="24"/>
          <w:szCs w:val="24"/>
          <w:lang w:val="hr-HR"/>
        </w:rPr>
        <w:t>a</w:t>
      </w:r>
      <w:r w:rsidR="002555B0" w:rsidRPr="008C3E92">
        <w:rPr>
          <w:color w:val="auto"/>
          <w:sz w:val="24"/>
          <w:szCs w:val="24"/>
          <w:lang w:val="hr-HR"/>
        </w:rPr>
        <w:t xml:space="preserve"> za provedbu mjere </w:t>
      </w:r>
      <w:r w:rsidR="0073614A" w:rsidRPr="008C3E92">
        <w:rPr>
          <w:color w:val="auto"/>
          <w:sz w:val="24"/>
          <w:szCs w:val="24"/>
          <w:lang w:val="hr-HR"/>
        </w:rPr>
        <w:t>pokretanja i normalizacije tekućeg poslovanja uslije</w:t>
      </w:r>
      <w:r w:rsidR="004E3367" w:rsidRPr="008C3E92">
        <w:rPr>
          <w:color w:val="auto"/>
          <w:sz w:val="24"/>
          <w:szCs w:val="24"/>
          <w:lang w:val="hr-HR"/>
        </w:rPr>
        <w:t>d akt</w:t>
      </w:r>
      <w:r w:rsidR="004221FE" w:rsidRPr="008C3E92">
        <w:rPr>
          <w:color w:val="auto"/>
          <w:sz w:val="24"/>
          <w:szCs w:val="24"/>
          <w:lang w:val="hr-HR"/>
        </w:rPr>
        <w:t>u</w:t>
      </w:r>
      <w:r w:rsidR="004E3367" w:rsidRPr="008C3E92">
        <w:rPr>
          <w:color w:val="auto"/>
          <w:sz w:val="24"/>
          <w:szCs w:val="24"/>
          <w:lang w:val="hr-HR"/>
        </w:rPr>
        <w:t>alne pandemije COVID-a 19 (u daljnjem tekstu: Poziv).</w:t>
      </w:r>
    </w:p>
    <w:p w14:paraId="0C755A7D" w14:textId="773165EF" w:rsidR="002179A6" w:rsidRPr="008C3E92" w:rsidRDefault="008A20F9" w:rsidP="003F7168">
      <w:pPr>
        <w:pStyle w:val="Tijeloteksta4"/>
        <w:numPr>
          <w:ilvl w:val="0"/>
          <w:numId w:val="1"/>
        </w:numPr>
        <w:shd w:val="clear" w:color="auto" w:fill="auto"/>
        <w:tabs>
          <w:tab w:val="left" w:pos="20"/>
        </w:tabs>
        <w:spacing w:after="120" w:line="259" w:lineRule="auto"/>
        <w:ind w:right="23" w:firstLine="0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Ovaj Program predstavlja akt na temelju kojeg se dodjeljuju potpore</w:t>
      </w:r>
      <w:r w:rsidR="004221FE" w:rsidRPr="008C3E92">
        <w:rPr>
          <w:color w:val="auto"/>
          <w:sz w:val="24"/>
          <w:szCs w:val="24"/>
          <w:lang w:val="hr-HR"/>
        </w:rPr>
        <w:t xml:space="preserve"> </w:t>
      </w:r>
      <w:r w:rsidR="00B41CF2" w:rsidRPr="008C3E92">
        <w:rPr>
          <w:color w:val="auto"/>
          <w:sz w:val="24"/>
          <w:szCs w:val="24"/>
          <w:lang w:val="hr-HR"/>
        </w:rPr>
        <w:t xml:space="preserve">male vrijednosti </w:t>
      </w:r>
      <w:r w:rsidR="004221FE" w:rsidRPr="008C3E92">
        <w:rPr>
          <w:color w:val="auto"/>
          <w:sz w:val="24"/>
          <w:szCs w:val="24"/>
          <w:lang w:val="hr-HR"/>
        </w:rPr>
        <w:t xml:space="preserve">u smislu članka 3. Uredbe </w:t>
      </w:r>
      <w:r w:rsidR="00717D09" w:rsidRPr="008C3E92">
        <w:rPr>
          <w:color w:val="auto"/>
          <w:sz w:val="24"/>
          <w:szCs w:val="24"/>
          <w:lang w:val="hr-HR"/>
        </w:rPr>
        <w:t>1407/2013</w:t>
      </w:r>
      <w:r w:rsidR="003F7168" w:rsidRPr="003F7168">
        <w:t xml:space="preserve"> </w:t>
      </w:r>
      <w:r w:rsidR="003F7168" w:rsidRPr="003F7168">
        <w:rPr>
          <w:color w:val="auto"/>
          <w:sz w:val="24"/>
          <w:szCs w:val="24"/>
          <w:lang w:val="hr-HR"/>
        </w:rPr>
        <w:t xml:space="preserve">, čija je primjena produljena do 31. prosinca 2021. temeljem Uredbe Komisije 2020/972 od 02. srpnja 2020., o izmjeni Uredbe br. 1407/2013 u pogledu njezina produljenja i o izmjeni Uredbe br. 651/2014 u pogledu njezina produljenja i odgovarajućih prilagodbi (SL EU, L 215, 2.7.2020.).  </w:t>
      </w:r>
    </w:p>
    <w:p w14:paraId="370ECE88" w14:textId="77777777" w:rsidR="0062425F" w:rsidRDefault="0062425F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1" w:name="bookmark3"/>
    </w:p>
    <w:p w14:paraId="3249CD37" w14:textId="77777777" w:rsidR="002179A6" w:rsidRPr="008C3E92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2" w:name="_GoBack"/>
      <w:bookmarkEnd w:id="2"/>
      <w:r w:rsidRPr="008C3E92">
        <w:rPr>
          <w:color w:val="auto"/>
          <w:sz w:val="24"/>
          <w:szCs w:val="24"/>
          <w:lang w:val="hr-HR"/>
        </w:rPr>
        <w:t>Članak 2.</w:t>
      </w:r>
      <w:bookmarkEnd w:id="1"/>
    </w:p>
    <w:p w14:paraId="7C1AD605" w14:textId="77777777" w:rsidR="002179A6" w:rsidRPr="008C3E92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3" w:name="bookmark4"/>
      <w:r w:rsidRPr="008C3E92">
        <w:rPr>
          <w:color w:val="auto"/>
          <w:sz w:val="24"/>
          <w:szCs w:val="24"/>
          <w:lang w:val="hr-HR"/>
        </w:rPr>
        <w:t>Ciljevi i korisnici</w:t>
      </w:r>
      <w:bookmarkEnd w:id="3"/>
    </w:p>
    <w:p w14:paraId="74F40441" w14:textId="5BF9E430" w:rsidR="004F363B" w:rsidRPr="008C3E92" w:rsidRDefault="00772031" w:rsidP="004F363B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(1)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8A20F9" w:rsidRPr="008C3E92">
        <w:rPr>
          <w:rFonts w:ascii="Times New Roman" w:hAnsi="Times New Roman" w:cs="Times New Roman"/>
          <w:color w:val="auto"/>
          <w:lang w:val="hr-HR"/>
        </w:rPr>
        <w:t xml:space="preserve">Temeljem ovog Programa dodjeljivat će se potpore </w:t>
      </w:r>
      <w:r w:rsidR="00717D09" w:rsidRPr="008C3E92">
        <w:rPr>
          <w:rFonts w:ascii="Times New Roman" w:hAnsi="Times New Roman" w:cs="Times New Roman"/>
          <w:color w:val="auto"/>
          <w:lang w:val="hr-HR"/>
        </w:rPr>
        <w:t xml:space="preserve">poduzetnicima </w:t>
      </w:r>
      <w:r w:rsidR="004F363B" w:rsidRPr="008C3E92">
        <w:rPr>
          <w:rFonts w:ascii="Times New Roman" w:hAnsi="Times New Roman" w:cs="Times New Roman"/>
          <w:color w:val="auto"/>
          <w:lang w:val="hr-HR"/>
        </w:rPr>
        <w:t xml:space="preserve">koji su profesionalni organizatori prihvatljivih događanja i 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 xml:space="preserve">poduzetnici koji obavljaju </w:t>
      </w:r>
      <w:r w:rsidR="004F363B" w:rsidRPr="008C3E92">
        <w:rPr>
          <w:rFonts w:ascii="Times New Roman" w:hAnsi="Times New Roman" w:cs="Times New Roman"/>
          <w:color w:val="auto"/>
          <w:lang w:val="hr-HR"/>
        </w:rPr>
        <w:t>prateće djelatnosti organizacije prihvatljivih događanja iz stavka (2) ovog članka, ukoliko ispunjavaju uvj</w:t>
      </w:r>
      <w:r w:rsidR="00BB7B19" w:rsidRPr="008C3E92">
        <w:rPr>
          <w:rFonts w:ascii="Times New Roman" w:hAnsi="Times New Roman" w:cs="Times New Roman"/>
          <w:color w:val="auto"/>
          <w:lang w:val="hr-HR"/>
        </w:rPr>
        <w:t>ete i kriterije ovog Programa.</w:t>
      </w:r>
    </w:p>
    <w:p w14:paraId="083E44BA" w14:textId="485A661D" w:rsidR="004F363B" w:rsidRPr="008C3E92" w:rsidRDefault="004F363B" w:rsidP="004F363B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(2)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Prihvatljiva događanja obuhvaćaju profesionalna kulturno umjetnička</w:t>
      </w:r>
      <w:r w:rsidR="00111FCB" w:rsidRPr="008C3E92">
        <w:rPr>
          <w:rFonts w:ascii="Times New Roman" w:hAnsi="Times New Roman" w:cs="Times New Roman"/>
          <w:color w:val="auto"/>
          <w:lang w:val="hr-HR"/>
        </w:rPr>
        <w:t xml:space="preserve"> događanja </w:t>
      </w:r>
      <w:r w:rsidR="00041E8C" w:rsidRPr="008C3E92">
        <w:rPr>
          <w:rFonts w:ascii="Times New Roman" w:hAnsi="Times New Roman" w:cs="Times New Roman"/>
          <w:color w:val="auto"/>
          <w:lang w:val="hr-HR"/>
        </w:rPr>
        <w:t>(festivali, koncerti i slična kulturno-umjetnička događanja</w:t>
      </w:r>
      <w:r w:rsidRPr="008C3E92">
        <w:rPr>
          <w:rFonts w:ascii="Times New Roman" w:hAnsi="Times New Roman" w:cs="Times New Roman"/>
          <w:color w:val="auto"/>
          <w:lang w:val="hr-HR"/>
        </w:rPr>
        <w:t>) te događanja namijenjena profesionalcima iz područja kulturnih i kreativnih industrija</w:t>
      </w:r>
      <w:r w:rsidR="00BB7B19" w:rsidRPr="008C3E92">
        <w:rPr>
          <w:rFonts w:ascii="Times New Roman" w:hAnsi="Times New Roman" w:cs="Times New Roman"/>
          <w:color w:val="auto"/>
          <w:lang w:val="hr-HR"/>
        </w:rPr>
        <w:t>.</w:t>
      </w:r>
    </w:p>
    <w:p w14:paraId="2498EE46" w14:textId="33B6AC63" w:rsidR="00111FCB" w:rsidRPr="008C3E92" w:rsidRDefault="004F363B" w:rsidP="004F363B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(3)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Pravo na potporu ostvaruju poduzetnici iz djelatnosti NKD 90.02 i to profesionalni organizatori prihvatljivih događanja te poduzetnici koji obavljaju prateće djelatnosti organizacije prihvatljivih događanja (najam opreme i prodaja ulaznica), a koji mogu dokazati da im je više od 50% poslovne aktivnosti u 2019. godini vezano uz prihvatljiva događanja. Pravo na potporu ostvaruju i poduzetnici koja ne potpadaju pod NKD 90.02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 xml:space="preserve">, 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ali 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 xml:space="preserve">koji </w:t>
      </w:r>
      <w:r w:rsidRPr="008C3E92">
        <w:rPr>
          <w:rFonts w:ascii="Times New Roman" w:hAnsi="Times New Roman" w:cs="Times New Roman"/>
          <w:color w:val="auto"/>
          <w:lang w:val="hr-HR"/>
        </w:rPr>
        <w:t>mogu dokazati da im je više od 50% poslovne aktivnosti vezano uz prihvatljiva događanja.</w:t>
      </w:r>
      <w:r w:rsidR="00111FCB" w:rsidRPr="008C3E92">
        <w:rPr>
          <w:rFonts w:ascii="Times New Roman" w:hAnsi="Times New Roman" w:cs="Times New Roman"/>
          <w:color w:val="auto"/>
          <w:lang w:val="hr-HR"/>
        </w:rPr>
        <w:t xml:space="preserve"> Razina poslovnih aktivnosti mjeri se brojem prihvatljivih događanja i prihodima ostvarenim od prihvatljivih događanja.</w:t>
      </w:r>
    </w:p>
    <w:p w14:paraId="79C59D6C" w14:textId="3146700B" w:rsidR="00D61CF8" w:rsidRPr="008C3E92" w:rsidRDefault="008B0903" w:rsidP="00A47BC2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(4</w:t>
      </w:r>
      <w:r w:rsidR="00D61CF8" w:rsidRPr="008C3E92">
        <w:rPr>
          <w:rFonts w:ascii="Times New Roman" w:hAnsi="Times New Roman" w:cs="Times New Roman"/>
          <w:color w:val="auto"/>
          <w:lang w:val="hr-HR"/>
        </w:rPr>
        <w:t>)</w:t>
      </w:r>
      <w:r w:rsidR="00D61CF8" w:rsidRPr="008C3E92">
        <w:rPr>
          <w:rFonts w:ascii="Times New Roman" w:hAnsi="Times New Roman" w:cs="Times New Roman"/>
          <w:color w:val="auto"/>
          <w:lang w:val="hr-HR"/>
        </w:rPr>
        <w:tab/>
        <w:t xml:space="preserve">Poduzetnici iz stavka (1) ovog članaka ostvarivat će pravo na potporu ukoliko su </w:t>
      </w:r>
      <w:r w:rsidR="006E5692" w:rsidRPr="008C3E92">
        <w:rPr>
          <w:rFonts w:ascii="Times New Roman" w:hAnsi="Times New Roman" w:cs="Times New Roman"/>
          <w:color w:val="auto"/>
          <w:lang w:val="hr-HR"/>
        </w:rPr>
        <w:t xml:space="preserve">u 2020. godini </w:t>
      </w:r>
      <w:r w:rsidR="00D61CF8" w:rsidRPr="008C3E92">
        <w:rPr>
          <w:rFonts w:ascii="Times New Roman" w:hAnsi="Times New Roman" w:cs="Times New Roman"/>
          <w:color w:val="auto"/>
          <w:lang w:val="hr-HR"/>
        </w:rPr>
        <w:t xml:space="preserve">trpjeli </w:t>
      </w:r>
      <w:r w:rsidR="00733BF0" w:rsidRPr="008C3E92">
        <w:rPr>
          <w:rFonts w:ascii="Times New Roman" w:hAnsi="Times New Roman" w:cs="Times New Roman"/>
          <w:color w:val="auto"/>
          <w:lang w:val="hr-HR"/>
        </w:rPr>
        <w:t>pad</w:t>
      </w:r>
      <w:r w:rsidR="003F6651" w:rsidRPr="008C3E92">
        <w:rPr>
          <w:rFonts w:ascii="Times New Roman" w:hAnsi="Times New Roman" w:cs="Times New Roman"/>
          <w:color w:val="auto"/>
          <w:lang w:val="hr-HR"/>
        </w:rPr>
        <w:t xml:space="preserve"> poslovanja </w:t>
      </w:r>
      <w:r w:rsidR="00733BF0" w:rsidRPr="008C3E92">
        <w:rPr>
          <w:rFonts w:ascii="Times New Roman" w:hAnsi="Times New Roman" w:cs="Times New Roman"/>
          <w:color w:val="auto"/>
          <w:lang w:val="hr-HR"/>
        </w:rPr>
        <w:t xml:space="preserve">uvjetovan pandemijom COVID-a 19, </w:t>
      </w:r>
      <w:r w:rsidR="003F6651" w:rsidRPr="008C3E92">
        <w:rPr>
          <w:rFonts w:ascii="Times New Roman" w:hAnsi="Times New Roman" w:cs="Times New Roman"/>
          <w:color w:val="auto"/>
          <w:lang w:val="hr-HR"/>
        </w:rPr>
        <w:t xml:space="preserve">kako </w:t>
      </w:r>
      <w:r w:rsidR="00733BF0" w:rsidRPr="008C3E92">
        <w:rPr>
          <w:rFonts w:ascii="Times New Roman" w:hAnsi="Times New Roman" w:cs="Times New Roman"/>
          <w:color w:val="auto"/>
          <w:lang w:val="hr-HR"/>
        </w:rPr>
        <w:t>je to definirano</w:t>
      </w:r>
      <w:r w:rsidR="00EE0001" w:rsidRPr="008C3E92">
        <w:rPr>
          <w:rFonts w:ascii="Times New Roman" w:hAnsi="Times New Roman" w:cs="Times New Roman"/>
          <w:color w:val="auto"/>
          <w:lang w:val="hr-HR"/>
        </w:rPr>
        <w:t xml:space="preserve"> ovim Programom</w:t>
      </w:r>
      <w:r w:rsidR="00D61CF8" w:rsidRPr="008C3E92">
        <w:rPr>
          <w:rFonts w:ascii="Times New Roman" w:hAnsi="Times New Roman" w:cs="Times New Roman"/>
          <w:color w:val="auto"/>
          <w:lang w:val="hr-HR"/>
        </w:rPr>
        <w:t>.</w:t>
      </w:r>
    </w:p>
    <w:p w14:paraId="246475DF" w14:textId="1B69EB24" w:rsidR="00772031" w:rsidRPr="008C3E92" w:rsidRDefault="00772031" w:rsidP="00A47BC2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>5</w:t>
      </w:r>
      <w:r w:rsidRPr="008C3E92">
        <w:rPr>
          <w:rFonts w:ascii="Times New Roman" w:hAnsi="Times New Roman" w:cs="Times New Roman"/>
          <w:color w:val="auto"/>
          <w:lang w:val="hr-HR"/>
        </w:rPr>
        <w:t>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4E3367" w:rsidRPr="008C3E92">
        <w:rPr>
          <w:rFonts w:ascii="Times New Roman" w:hAnsi="Times New Roman" w:cs="Times New Roman"/>
          <w:color w:val="auto"/>
          <w:lang w:val="hr-HR"/>
        </w:rPr>
        <w:t>Cilj d</w:t>
      </w:r>
      <w:r w:rsidR="008A20F9" w:rsidRPr="008C3E92">
        <w:rPr>
          <w:rFonts w:ascii="Times New Roman" w:hAnsi="Times New Roman" w:cs="Times New Roman"/>
          <w:color w:val="auto"/>
          <w:lang w:val="hr-HR"/>
        </w:rPr>
        <w:t>odjel</w:t>
      </w:r>
      <w:r w:rsidR="004E3367" w:rsidRPr="008C3E92">
        <w:rPr>
          <w:rFonts w:ascii="Times New Roman" w:hAnsi="Times New Roman" w:cs="Times New Roman"/>
          <w:color w:val="auto"/>
          <w:lang w:val="hr-HR"/>
        </w:rPr>
        <w:t>e</w:t>
      </w:r>
      <w:r w:rsidR="00E94B23" w:rsidRPr="008C3E92">
        <w:rPr>
          <w:rFonts w:ascii="Times New Roman" w:hAnsi="Times New Roman" w:cs="Times New Roman"/>
          <w:color w:val="auto"/>
          <w:lang w:val="hr-HR"/>
        </w:rPr>
        <w:t xml:space="preserve"> potpora p</w:t>
      </w:r>
      <w:r w:rsidR="00717D09" w:rsidRPr="008C3E92">
        <w:rPr>
          <w:rFonts w:ascii="Times New Roman" w:hAnsi="Times New Roman" w:cs="Times New Roman"/>
          <w:color w:val="auto"/>
          <w:lang w:val="hr-HR"/>
        </w:rPr>
        <w:t xml:space="preserve">oduzetnicima </w:t>
      </w:r>
      <w:r w:rsidR="004E3367" w:rsidRPr="008C3E92">
        <w:rPr>
          <w:rFonts w:ascii="Times New Roman" w:hAnsi="Times New Roman" w:cs="Times New Roman"/>
          <w:color w:val="auto"/>
          <w:lang w:val="hr-HR"/>
        </w:rPr>
        <w:t xml:space="preserve">iz stavka 1. ovoga članka 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 xml:space="preserve">je </w:t>
      </w:r>
      <w:r w:rsidR="005C23DB" w:rsidRPr="008C3E92">
        <w:rPr>
          <w:rFonts w:ascii="Times New Roman" w:hAnsi="Times New Roman" w:cs="Times New Roman"/>
          <w:color w:val="auto"/>
          <w:lang w:val="hr-HR"/>
        </w:rPr>
        <w:t>pokretanje i normalizacija tekućeg poslovanja uslijed aktualne pandemije COVID-a 19.</w:t>
      </w:r>
    </w:p>
    <w:p w14:paraId="1A8FA2A3" w14:textId="7E8989C2" w:rsidR="008B0903" w:rsidRPr="008C3E92" w:rsidRDefault="00772031" w:rsidP="008B0903">
      <w:pPr>
        <w:spacing w:after="120" w:line="259" w:lineRule="auto"/>
        <w:jc w:val="both"/>
        <w:rPr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lastRenderedPageBreak/>
        <w:t>(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>6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) 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Potpore</w:t>
      </w:r>
      <w:r w:rsidR="00B41CF2" w:rsidRPr="008C3E92">
        <w:rPr>
          <w:rFonts w:ascii="Times New Roman" w:hAnsi="Times New Roman" w:cs="Times New Roman"/>
          <w:color w:val="auto"/>
          <w:lang w:val="hr-HR"/>
        </w:rPr>
        <w:t xml:space="preserve"> prema 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>ovo</w:t>
      </w:r>
      <w:r w:rsidR="00B41CF2" w:rsidRPr="008C3E92">
        <w:rPr>
          <w:rFonts w:ascii="Times New Roman" w:hAnsi="Times New Roman" w:cs="Times New Roman"/>
          <w:color w:val="auto"/>
          <w:lang w:val="hr-HR"/>
        </w:rPr>
        <w:t>m Programu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 xml:space="preserve"> dodjeljuj</w:t>
      </w:r>
      <w:r w:rsidRPr="008C3E92">
        <w:rPr>
          <w:rFonts w:ascii="Times New Roman" w:hAnsi="Times New Roman" w:cs="Times New Roman"/>
          <w:color w:val="auto"/>
          <w:lang w:val="hr-HR"/>
        </w:rPr>
        <w:t>e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Ministarstvo </w:t>
      </w:r>
      <w:r w:rsidR="008B0903" w:rsidRPr="008C3E92">
        <w:rPr>
          <w:rFonts w:ascii="Times New Roman" w:hAnsi="Times New Roman" w:cs="Times New Roman"/>
          <w:color w:val="auto"/>
          <w:lang w:val="hr-HR"/>
        </w:rPr>
        <w:t xml:space="preserve">kulture i medija </w:t>
      </w:r>
      <w:r w:rsidR="006E5692" w:rsidRPr="008C3E92">
        <w:rPr>
          <w:rFonts w:ascii="Times New Roman" w:hAnsi="Times New Roman" w:cs="Times New Roman"/>
          <w:color w:val="auto"/>
          <w:lang w:val="hr-HR"/>
        </w:rPr>
        <w:t xml:space="preserve">(u daljnjem tekstu: Ministarstvo) 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temeljem sredstava osiguranih u Državnom proračunu Republike Hrvatske, a </w:t>
      </w:r>
      <w:r w:rsidR="00B41CF2" w:rsidRPr="008C3E92">
        <w:rPr>
          <w:rFonts w:ascii="Times New Roman" w:hAnsi="Times New Roman" w:cs="Times New Roman"/>
          <w:color w:val="auto"/>
          <w:lang w:val="hr-HR"/>
        </w:rPr>
        <w:t xml:space="preserve">u skladu s 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>raspisan</w:t>
      </w:r>
      <w:r w:rsidR="00B41CF2" w:rsidRPr="008C3E92">
        <w:rPr>
          <w:rFonts w:ascii="Times New Roman" w:hAnsi="Times New Roman" w:cs="Times New Roman"/>
          <w:color w:val="auto"/>
          <w:lang w:val="hr-HR"/>
        </w:rPr>
        <w:t xml:space="preserve">im </w:t>
      </w:r>
      <w:r w:rsidR="004221FE" w:rsidRPr="008C3E92">
        <w:rPr>
          <w:rFonts w:ascii="Times New Roman" w:hAnsi="Times New Roman" w:cs="Times New Roman"/>
          <w:color w:val="auto"/>
          <w:lang w:val="hr-HR"/>
        </w:rPr>
        <w:t>P</w:t>
      </w:r>
      <w:r w:rsidR="00B41CF2" w:rsidRPr="008C3E92">
        <w:rPr>
          <w:rFonts w:ascii="Times New Roman" w:hAnsi="Times New Roman" w:cs="Times New Roman"/>
          <w:color w:val="auto"/>
          <w:lang w:val="hr-HR"/>
        </w:rPr>
        <w:t>ozivom</w:t>
      </w:r>
      <w:r w:rsidR="0073614A" w:rsidRPr="008C3E92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kojim se detaljno definiraju kriteriji za odabir </w:t>
      </w:r>
      <w:r w:rsidR="00717D09" w:rsidRPr="008C3E92">
        <w:rPr>
          <w:rFonts w:ascii="Times New Roman" w:hAnsi="Times New Roman" w:cs="Times New Roman"/>
          <w:color w:val="auto"/>
          <w:lang w:val="hr-HR"/>
        </w:rPr>
        <w:t>poduzetnika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, potrebna dokumentacija, prihvatljivi </w:t>
      </w:r>
      <w:r w:rsidR="004B4D15" w:rsidRPr="008C3E92">
        <w:rPr>
          <w:rFonts w:ascii="Times New Roman" w:hAnsi="Times New Roman" w:cs="Times New Roman"/>
          <w:color w:val="auto"/>
          <w:lang w:val="hr-HR"/>
        </w:rPr>
        <w:t>troškovi poslovanja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 i drugi uvjeti koje </w:t>
      </w:r>
      <w:r w:rsidR="004B4D15" w:rsidRPr="008C3E92">
        <w:rPr>
          <w:rFonts w:ascii="Times New Roman" w:hAnsi="Times New Roman" w:cs="Times New Roman"/>
          <w:color w:val="auto"/>
          <w:lang w:val="hr-HR"/>
        </w:rPr>
        <w:t>poduzetnici i</w:t>
      </w:r>
      <w:r w:rsidRPr="008C3E92">
        <w:rPr>
          <w:rFonts w:ascii="Times New Roman" w:hAnsi="Times New Roman" w:cs="Times New Roman"/>
          <w:color w:val="auto"/>
          <w:lang w:val="hr-HR"/>
        </w:rPr>
        <w:t>z stavka (1) ovoga članka moraju ispuniti da bi bili kori</w:t>
      </w:r>
      <w:bookmarkStart w:id="4" w:name="bookmark8"/>
      <w:r w:rsidR="00BB7B19" w:rsidRPr="008C3E92">
        <w:rPr>
          <w:rFonts w:ascii="Times New Roman" w:hAnsi="Times New Roman" w:cs="Times New Roman"/>
          <w:color w:val="auto"/>
          <w:lang w:val="hr-HR"/>
        </w:rPr>
        <w:t>snici potpora iz ovog Programa.</w:t>
      </w:r>
    </w:p>
    <w:p w14:paraId="107191A9" w14:textId="33BE8E3E" w:rsidR="00907FA8" w:rsidRPr="008C3E92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 xml:space="preserve">Članak </w:t>
      </w:r>
      <w:r w:rsidR="00772031" w:rsidRPr="008C3E92">
        <w:rPr>
          <w:color w:val="auto"/>
          <w:sz w:val="24"/>
          <w:szCs w:val="24"/>
          <w:lang w:val="hr-HR"/>
        </w:rPr>
        <w:t>3</w:t>
      </w:r>
      <w:r w:rsidRPr="008C3E92">
        <w:rPr>
          <w:color w:val="auto"/>
          <w:sz w:val="24"/>
          <w:szCs w:val="24"/>
          <w:lang w:val="hr-HR"/>
        </w:rPr>
        <w:t>.</w:t>
      </w:r>
    </w:p>
    <w:p w14:paraId="0B54181F" w14:textId="62198571" w:rsidR="002179A6" w:rsidRPr="008C3E92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ind w:right="-20"/>
        <w:jc w:val="center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Definicij</w:t>
      </w:r>
      <w:bookmarkEnd w:id="4"/>
      <w:r w:rsidR="00717D09" w:rsidRPr="008C3E92">
        <w:rPr>
          <w:color w:val="auto"/>
          <w:sz w:val="24"/>
          <w:szCs w:val="24"/>
          <w:lang w:val="hr-HR"/>
        </w:rPr>
        <w:t>a „jednog poduzetnika“</w:t>
      </w:r>
    </w:p>
    <w:p w14:paraId="3D6E0C7B" w14:textId="4F46D421" w:rsidR="00717D09" w:rsidRPr="008C3E92" w:rsidRDefault="006E5692" w:rsidP="00A47BC2">
      <w:pPr>
        <w:pStyle w:val="Tijeloteksta4"/>
        <w:spacing w:after="120" w:line="259" w:lineRule="auto"/>
        <w:ind w:left="20" w:right="20" w:hanging="20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(1)</w:t>
      </w:r>
      <w:r w:rsidRPr="008C3E92">
        <w:rPr>
          <w:rStyle w:val="Tijeloteksta1"/>
          <w:color w:val="auto"/>
          <w:sz w:val="24"/>
          <w:szCs w:val="24"/>
          <w:lang w:val="hr-HR"/>
        </w:rPr>
        <w:tab/>
      </w:r>
      <w:r w:rsidR="008A20F9" w:rsidRPr="008C3E92">
        <w:rPr>
          <w:rStyle w:val="Tijeloteksta1"/>
          <w:color w:val="auto"/>
          <w:sz w:val="24"/>
          <w:szCs w:val="24"/>
          <w:lang w:val="hr-HR"/>
        </w:rPr>
        <w:t xml:space="preserve">Sukladno Uredbi </w:t>
      </w:r>
      <w:r w:rsidR="00717D09" w:rsidRPr="008C3E92">
        <w:rPr>
          <w:rStyle w:val="Tijeloteksta1"/>
          <w:color w:val="auto"/>
          <w:sz w:val="24"/>
          <w:szCs w:val="24"/>
          <w:lang w:val="hr-HR"/>
        </w:rPr>
        <w:t xml:space="preserve">1407/2013 </w:t>
      </w:r>
      <w:r w:rsidR="008A20F9" w:rsidRPr="008C3E92">
        <w:rPr>
          <w:rStyle w:val="Tijeloteksta1"/>
          <w:color w:val="auto"/>
          <w:sz w:val="24"/>
          <w:szCs w:val="24"/>
          <w:lang w:val="hr-HR"/>
        </w:rPr>
        <w:t xml:space="preserve">za potrebe ovog Programa </w:t>
      </w:r>
      <w:r w:rsidR="00717D09" w:rsidRPr="008C3E92">
        <w:rPr>
          <w:rStyle w:val="Tijeloteksta1"/>
          <w:color w:val="auto"/>
          <w:sz w:val="24"/>
          <w:szCs w:val="24"/>
          <w:lang w:val="hr-HR"/>
        </w:rPr>
        <w:t>pod pojmom „jedan poduzetnik” obuhvaćena su sva poduzeća koja su u najmanje jednom od sljedećih međusobnih odnosa:</w:t>
      </w:r>
    </w:p>
    <w:p w14:paraId="0899DE2A" w14:textId="66D0DDA6" w:rsidR="00717D09" w:rsidRPr="008C3E92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(a) jedno poduzeće ima većinu glasačkih prava dioničara ili članova u drugom poduzeću;</w:t>
      </w:r>
    </w:p>
    <w:p w14:paraId="3EFE83F0" w14:textId="60AAF550" w:rsidR="00717D09" w:rsidRPr="008C3E92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(b) jedno poduzeće ima pravo imenovati ili smijeniti većinu članova upravnog, upravljačkog ili nadzornog tijela drugog poduzeća;</w:t>
      </w:r>
    </w:p>
    <w:p w14:paraId="31E1D260" w14:textId="72F5F382" w:rsidR="00717D09" w:rsidRPr="008C3E92" w:rsidRDefault="00717D09" w:rsidP="00A47BC2">
      <w:pPr>
        <w:pStyle w:val="Tijeloteksta4"/>
        <w:spacing w:after="120" w:line="259" w:lineRule="auto"/>
        <w:ind w:left="708" w:right="20" w:firstLine="0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5F0D12AA" w14:textId="1BEFE265" w:rsidR="00717D09" w:rsidRPr="008C3E92" w:rsidRDefault="00717D09" w:rsidP="00A47BC2">
      <w:pPr>
        <w:pStyle w:val="Tijeloteksta4"/>
        <w:spacing w:after="120" w:line="259" w:lineRule="auto"/>
        <w:ind w:left="708" w:right="23" w:firstLine="3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E545047" w14:textId="77777777" w:rsidR="00FB36EC" w:rsidRPr="008C3E92" w:rsidRDefault="006E5692" w:rsidP="00A47BC2">
      <w:pPr>
        <w:pStyle w:val="Tijeloteksta4"/>
        <w:spacing w:after="120" w:line="259" w:lineRule="auto"/>
        <w:ind w:left="23" w:right="23" w:hanging="20"/>
        <w:rPr>
          <w:rStyle w:val="Tijeloteksta1"/>
          <w:color w:val="auto"/>
          <w:sz w:val="24"/>
          <w:szCs w:val="24"/>
          <w:lang w:val="hr-HR"/>
        </w:rPr>
      </w:pPr>
      <w:r w:rsidRPr="008C3E92">
        <w:rPr>
          <w:rStyle w:val="Tijeloteksta1"/>
          <w:color w:val="auto"/>
          <w:sz w:val="24"/>
          <w:szCs w:val="24"/>
          <w:lang w:val="hr-HR"/>
        </w:rPr>
        <w:t>(2)</w:t>
      </w:r>
      <w:r w:rsidRPr="008C3E92">
        <w:rPr>
          <w:rStyle w:val="Tijeloteksta1"/>
          <w:color w:val="auto"/>
          <w:sz w:val="24"/>
          <w:szCs w:val="24"/>
          <w:lang w:val="hr-HR"/>
        </w:rPr>
        <w:tab/>
      </w:r>
      <w:r w:rsidR="00717D09" w:rsidRPr="008C3E92">
        <w:rPr>
          <w:rStyle w:val="Tijeloteksta1"/>
          <w:color w:val="auto"/>
          <w:sz w:val="24"/>
          <w:szCs w:val="24"/>
          <w:lang w:val="hr-HR"/>
        </w:rPr>
        <w:t>Poduzeća koja su u bilo kojem od odnosa navedenih u stavku</w:t>
      </w:r>
      <w:r w:rsidR="003E0AF7" w:rsidRPr="008C3E92">
        <w:rPr>
          <w:rStyle w:val="Tijeloteksta1"/>
          <w:color w:val="auto"/>
          <w:sz w:val="24"/>
          <w:szCs w:val="24"/>
          <w:lang w:val="hr-HR"/>
        </w:rPr>
        <w:t xml:space="preserve"> (1)</w:t>
      </w:r>
      <w:r w:rsidR="00717D09" w:rsidRPr="008C3E92">
        <w:rPr>
          <w:rStyle w:val="Tijeloteksta1"/>
          <w:color w:val="auto"/>
          <w:sz w:val="24"/>
          <w:szCs w:val="24"/>
          <w:lang w:val="hr-HR"/>
        </w:rPr>
        <w:t xml:space="preserve"> </w:t>
      </w:r>
      <w:r w:rsidR="00AC0EA8" w:rsidRPr="008C3E92">
        <w:rPr>
          <w:rStyle w:val="Tijeloteksta1"/>
          <w:color w:val="auto"/>
          <w:sz w:val="24"/>
          <w:szCs w:val="24"/>
          <w:lang w:val="hr-HR"/>
        </w:rPr>
        <w:t xml:space="preserve">ovog članka, u </w:t>
      </w:r>
      <w:r w:rsidR="00717D09" w:rsidRPr="008C3E92">
        <w:rPr>
          <w:rStyle w:val="Tijeloteksta1"/>
          <w:color w:val="auto"/>
          <w:sz w:val="24"/>
          <w:szCs w:val="24"/>
          <w:lang w:val="hr-HR"/>
        </w:rPr>
        <w:t>točkama (a) do (d) preko jednog ili više drugih poduzeća isto se tako smatraju jednim poduzetnikom.</w:t>
      </w:r>
      <w:bookmarkStart w:id="5" w:name="bookmark9"/>
    </w:p>
    <w:p w14:paraId="6404466E" w14:textId="70D6BA39" w:rsidR="003F6651" w:rsidRPr="008C3E92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8C3E92">
        <w:rPr>
          <w:rFonts w:ascii="Times New Roman" w:hAnsi="Times New Roman" w:cs="Times New Roman"/>
          <w:b/>
          <w:color w:val="auto"/>
          <w:lang w:val="hr-HR"/>
        </w:rPr>
        <w:t>Članak 4.</w:t>
      </w:r>
    </w:p>
    <w:p w14:paraId="130EE72B" w14:textId="77777777" w:rsidR="003F6651" w:rsidRPr="008C3E92" w:rsidRDefault="003F6651" w:rsidP="003F6651">
      <w:pPr>
        <w:spacing w:after="120" w:line="259" w:lineRule="auto"/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8C3E92">
        <w:rPr>
          <w:rFonts w:ascii="Times New Roman" w:hAnsi="Times New Roman" w:cs="Times New Roman"/>
          <w:b/>
          <w:color w:val="auto"/>
          <w:lang w:val="hr-HR"/>
        </w:rPr>
        <w:t>Kriterij pada poslovanja</w:t>
      </w:r>
    </w:p>
    <w:p w14:paraId="3DC7241A" w14:textId="48FBD1DB" w:rsidR="003F6651" w:rsidRPr="008C3E92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 xml:space="preserve">(1) 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Za kriterij pada poslovanja uzima se pad poslovnih prihoda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>, a koji se dokazuje vjerodostojnom dokumentacijom iz stavka (4) ovog članka.</w:t>
      </w:r>
    </w:p>
    <w:p w14:paraId="1A9916DE" w14:textId="77777777" w:rsidR="003F6651" w:rsidRPr="008C3E92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(2)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Promatrani period je 2020. godina, a ona se uspoređuje s 2019.-om godinom.</w:t>
      </w:r>
    </w:p>
    <w:p w14:paraId="557F4AC2" w14:textId="23042C0E" w:rsidR="003F6651" w:rsidRPr="008C3E92" w:rsidRDefault="003F6651" w:rsidP="003F6651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(3)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747AEC" w:rsidRPr="008C3E92">
        <w:rPr>
          <w:rFonts w:ascii="Times New Roman" w:hAnsi="Times New Roman" w:cs="Times New Roman"/>
          <w:color w:val="auto"/>
          <w:lang w:val="hr-HR"/>
        </w:rPr>
        <w:t>Pad poslovanja u 2020.-toj godini za poduzetnika koji ostvaruje pravo na potporu prema ovom Programu mora biti pad od najmanje 75%</w:t>
      </w:r>
      <w:r w:rsidRPr="008C3E92">
        <w:rPr>
          <w:rFonts w:ascii="Times New Roman" w:hAnsi="Times New Roman" w:cs="Times New Roman"/>
          <w:color w:val="auto"/>
          <w:lang w:val="hr-HR"/>
        </w:rPr>
        <w:t xml:space="preserve"> </w:t>
      </w:r>
      <w:r w:rsidR="00BB7B19" w:rsidRPr="008C3E92">
        <w:rPr>
          <w:rFonts w:ascii="Times New Roman" w:hAnsi="Times New Roman" w:cs="Times New Roman"/>
          <w:color w:val="auto"/>
          <w:lang w:val="hr-HR"/>
        </w:rPr>
        <w:t>u odnosu na 2019. godinu.</w:t>
      </w:r>
    </w:p>
    <w:p w14:paraId="16D8D371" w14:textId="63A367C5" w:rsidR="00D80AE2" w:rsidRPr="008C3E92" w:rsidRDefault="003F6651" w:rsidP="00D80AE2">
      <w:pPr>
        <w:spacing w:after="12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>4</w:t>
      </w:r>
      <w:r w:rsidRPr="008C3E92">
        <w:rPr>
          <w:rFonts w:ascii="Times New Roman" w:hAnsi="Times New Roman" w:cs="Times New Roman"/>
          <w:color w:val="auto"/>
          <w:lang w:val="hr-HR"/>
        </w:rPr>
        <w:t>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D80AE2" w:rsidRPr="008C3E92">
        <w:rPr>
          <w:rFonts w:ascii="Times New Roman" w:hAnsi="Times New Roman" w:cs="Times New Roman"/>
          <w:color w:val="auto"/>
          <w:lang w:val="hr-HR"/>
        </w:rPr>
        <w:t xml:space="preserve">Poduzetnik mora dokazati pad </w:t>
      </w:r>
      <w:r w:rsidR="009C13AF" w:rsidRPr="008C3E92">
        <w:rPr>
          <w:rFonts w:ascii="Times New Roman" w:hAnsi="Times New Roman" w:cs="Times New Roman"/>
          <w:color w:val="auto"/>
          <w:lang w:val="hr-HR"/>
        </w:rPr>
        <w:t xml:space="preserve">prihoda od 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>poslovanja u skladu s odredbama Poziva dostavom godišnjih financijskih izvještaja promatranog i usporednog razdoblja predanih na FINA-u zbog javne objave ili PDV obrazaca za promatrano i usporedno razdoblje i dostavom ovjerovljene specifikacije računa Glavne knjige</w:t>
      </w:r>
      <w:r w:rsidR="00403EEE" w:rsidRPr="008C3E92">
        <w:rPr>
          <w:rFonts w:ascii="Times New Roman" w:hAnsi="Times New Roman" w:cs="Times New Roman"/>
          <w:color w:val="auto"/>
          <w:lang w:val="hr-HR"/>
        </w:rPr>
        <w:t xml:space="preserve"> ili</w:t>
      </w:r>
      <w:r w:rsidR="00AF77B0" w:rsidRPr="008C3E92">
        <w:rPr>
          <w:rFonts w:ascii="Times New Roman" w:hAnsi="Times New Roman" w:cs="Times New Roman"/>
          <w:color w:val="auto"/>
          <w:lang w:val="hr-HR"/>
        </w:rPr>
        <w:t xml:space="preserve"> računa drugih temeljnih financijskih izvještaja koji sadrže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 xml:space="preserve"> početno stanje, promet tijekom godine i zaključno stanja (bruto bilanca), a koji se dostavlja uz obrazac zbirne izjave o iznosu prihvatljiv</w:t>
      </w:r>
      <w:r w:rsidR="00BB7B19" w:rsidRPr="008C3E92">
        <w:rPr>
          <w:rFonts w:ascii="Times New Roman" w:hAnsi="Times New Roman" w:cs="Times New Roman"/>
          <w:color w:val="auto"/>
          <w:lang w:val="hr-HR"/>
        </w:rPr>
        <w:t>ih troškova.</w:t>
      </w:r>
    </w:p>
    <w:p w14:paraId="44EC448E" w14:textId="77777777" w:rsidR="0062425F" w:rsidRDefault="0062425F" w:rsidP="00A47BC2">
      <w:pPr>
        <w:pStyle w:val="Tijeloteksta4"/>
        <w:spacing w:after="120" w:line="259" w:lineRule="auto"/>
        <w:ind w:left="23" w:right="23" w:hanging="20"/>
        <w:jc w:val="center"/>
        <w:rPr>
          <w:b/>
          <w:color w:val="auto"/>
          <w:sz w:val="24"/>
          <w:szCs w:val="24"/>
          <w:lang w:val="hr-HR"/>
        </w:rPr>
      </w:pPr>
    </w:p>
    <w:p w14:paraId="7A92B9ED" w14:textId="5D3617FF" w:rsidR="002179A6" w:rsidRPr="008C3E92" w:rsidRDefault="008A20F9" w:rsidP="00A47BC2">
      <w:pPr>
        <w:pStyle w:val="Tijeloteksta4"/>
        <w:spacing w:after="120" w:line="259" w:lineRule="auto"/>
        <w:ind w:left="23" w:right="23" w:hanging="20"/>
        <w:jc w:val="center"/>
        <w:rPr>
          <w:b/>
          <w:color w:val="auto"/>
          <w:sz w:val="24"/>
          <w:szCs w:val="24"/>
          <w:lang w:val="hr-HR"/>
        </w:rPr>
      </w:pPr>
      <w:r w:rsidRPr="008C3E92">
        <w:rPr>
          <w:b/>
          <w:color w:val="auto"/>
          <w:sz w:val="24"/>
          <w:szCs w:val="24"/>
          <w:lang w:val="hr-HR"/>
        </w:rPr>
        <w:t xml:space="preserve">Članak </w:t>
      </w:r>
      <w:r w:rsidR="00747AEC" w:rsidRPr="008C3E92">
        <w:rPr>
          <w:b/>
          <w:color w:val="auto"/>
          <w:sz w:val="24"/>
          <w:szCs w:val="24"/>
          <w:lang w:val="hr-HR"/>
        </w:rPr>
        <w:t>5</w:t>
      </w:r>
      <w:r w:rsidRPr="008C3E92">
        <w:rPr>
          <w:b/>
          <w:color w:val="auto"/>
          <w:sz w:val="24"/>
          <w:szCs w:val="24"/>
          <w:lang w:val="hr-HR"/>
        </w:rPr>
        <w:t>.</w:t>
      </w:r>
      <w:bookmarkEnd w:id="5"/>
    </w:p>
    <w:p w14:paraId="430D93B1" w14:textId="0D1E3F5D" w:rsidR="002179A6" w:rsidRPr="008C3E92" w:rsidRDefault="00190154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color w:val="auto"/>
          <w:sz w:val="24"/>
          <w:szCs w:val="24"/>
          <w:lang w:val="hr-HR"/>
        </w:rPr>
      </w:pPr>
      <w:bookmarkStart w:id="6" w:name="bookmark10"/>
      <w:r w:rsidRPr="008C3E92">
        <w:rPr>
          <w:color w:val="auto"/>
          <w:sz w:val="24"/>
          <w:szCs w:val="24"/>
          <w:lang w:val="hr-HR"/>
        </w:rPr>
        <w:lastRenderedPageBreak/>
        <w:t>Oblik</w:t>
      </w:r>
      <w:r w:rsidR="000E6016" w:rsidRPr="008C3E92">
        <w:rPr>
          <w:color w:val="auto"/>
          <w:sz w:val="24"/>
          <w:szCs w:val="24"/>
          <w:lang w:val="hr-HR"/>
        </w:rPr>
        <w:t xml:space="preserve"> i </w:t>
      </w:r>
      <w:r w:rsidRPr="008C3E92">
        <w:rPr>
          <w:color w:val="auto"/>
          <w:sz w:val="24"/>
          <w:szCs w:val="24"/>
          <w:lang w:val="hr-HR"/>
        </w:rPr>
        <w:t>iznos</w:t>
      </w:r>
      <w:r w:rsidR="002E692E" w:rsidRPr="008C3E92">
        <w:rPr>
          <w:color w:val="auto"/>
          <w:sz w:val="24"/>
          <w:szCs w:val="24"/>
          <w:lang w:val="hr-HR"/>
        </w:rPr>
        <w:t xml:space="preserve"> </w:t>
      </w:r>
      <w:r w:rsidRPr="008C3E92">
        <w:rPr>
          <w:color w:val="auto"/>
          <w:sz w:val="24"/>
          <w:szCs w:val="24"/>
          <w:lang w:val="hr-HR"/>
        </w:rPr>
        <w:t xml:space="preserve">potpore </w:t>
      </w:r>
      <w:bookmarkEnd w:id="6"/>
    </w:p>
    <w:p w14:paraId="2DB4BDF5" w14:textId="2B3CD0D7" w:rsidR="00ED677B" w:rsidRPr="008C3E92" w:rsidRDefault="00190154" w:rsidP="00ED677B">
      <w:pPr>
        <w:pStyle w:val="ListParagraph"/>
        <w:numPr>
          <w:ilvl w:val="1"/>
          <w:numId w:val="1"/>
        </w:numPr>
        <w:spacing w:after="120" w:line="259" w:lineRule="auto"/>
        <w:ind w:left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Potpore poduzetnicima prema ovom Programu dodjeljuju se u obliku bespovratnih sredstava</w:t>
      </w:r>
      <w:r w:rsidR="005C23DB" w:rsidRPr="008C3E92">
        <w:rPr>
          <w:rFonts w:ascii="Times New Roman" w:eastAsia="Calibri" w:hAnsi="Times New Roman" w:cs="Times New Roman"/>
          <w:color w:val="auto"/>
          <w:lang w:val="hr-HR"/>
        </w:rPr>
        <w:t>, a ovisit će o utvrđenom padu prihoda te raspoloživim sredstvima za ovu mjeru kao i broju zaprimljenih prijava.</w:t>
      </w:r>
    </w:p>
    <w:p w14:paraId="41833C6D" w14:textId="5EE7E2D9" w:rsidR="00ED677B" w:rsidRPr="008C3E92" w:rsidRDefault="00ED677B" w:rsidP="00ED677B">
      <w:pPr>
        <w:spacing w:after="120" w:line="259" w:lineRule="auto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190154" w:rsidRPr="008C3E92">
        <w:rPr>
          <w:rFonts w:ascii="Times New Roman" w:eastAsia="Calibri" w:hAnsi="Times New Roman" w:cs="Times New Roman"/>
          <w:color w:val="auto"/>
          <w:lang w:val="hr-HR"/>
        </w:rPr>
        <w:t>(2)</w:t>
      </w:r>
      <w:r w:rsidR="00190154" w:rsidRPr="008C3E92">
        <w:rPr>
          <w:rFonts w:ascii="Times New Roman" w:eastAsia="Calibri" w:hAnsi="Times New Roman" w:cs="Times New Roman"/>
          <w:color w:val="auto"/>
          <w:lang w:val="hr-HR"/>
        </w:rPr>
        <w:tab/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>Iznos potpore</w:t>
      </w:r>
      <w:r w:rsidR="00190154" w:rsidRPr="008C3E92">
        <w:rPr>
          <w:rFonts w:ascii="Times New Roman" w:eastAsia="Calibri" w:hAnsi="Times New Roman" w:cs="Times New Roman"/>
          <w:color w:val="auto"/>
          <w:lang w:val="hr-HR"/>
        </w:rPr>
        <w:t xml:space="preserve"> iz stavka (1)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ovog članka utvrđuje se</w:t>
      </w:r>
      <w:r w:rsidR="00190154" w:rsidRPr="008C3E92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kao umnožak postotka pada poslovanja poduzetnika i iznosa ukupno utvrđenih prihvatljivih troškova</w:t>
      </w:r>
      <w:r w:rsidR="001E3931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  <w:r w:rsidR="00D61CF8" w:rsidRPr="008C3E92">
        <w:rPr>
          <w:rFonts w:ascii="Times New Roman" w:eastAsia="Calibri" w:hAnsi="Times New Roman" w:cs="Times New Roman"/>
          <w:color w:val="auto"/>
          <w:lang w:val="hr-HR"/>
        </w:rPr>
        <w:t xml:space="preserve"> kako se definiraju </w:t>
      </w:r>
      <w:r w:rsidR="001E3931" w:rsidRPr="008C3E92">
        <w:rPr>
          <w:rFonts w:ascii="Times New Roman" w:eastAsia="Calibri" w:hAnsi="Times New Roman" w:cs="Times New Roman"/>
          <w:color w:val="auto"/>
          <w:lang w:val="hr-HR"/>
        </w:rPr>
        <w:t xml:space="preserve">člankom </w:t>
      </w:r>
      <w:r w:rsidR="00747AEC" w:rsidRPr="008C3E92">
        <w:rPr>
          <w:rFonts w:ascii="Times New Roman" w:eastAsia="Calibri" w:hAnsi="Times New Roman" w:cs="Times New Roman"/>
          <w:color w:val="auto"/>
          <w:lang w:val="hr-HR"/>
        </w:rPr>
        <w:t>6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. ovog Programa, te</w:t>
      </w:r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bookmarkStart w:id="7" w:name="_Hlk71724760"/>
      <w:bookmarkStart w:id="8" w:name="_Hlk71724504"/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 xml:space="preserve">ne može biti </w:t>
      </w:r>
      <w:r w:rsidR="00E3314A" w:rsidRPr="008C3E92">
        <w:rPr>
          <w:rFonts w:ascii="Times New Roman" w:eastAsia="Calibri" w:hAnsi="Times New Roman" w:cs="Times New Roman"/>
          <w:color w:val="auto"/>
          <w:lang w:val="hr-HR"/>
        </w:rPr>
        <w:t xml:space="preserve">veći od </w:t>
      </w:r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 xml:space="preserve">ukupno </w:t>
      </w:r>
      <w:r w:rsidR="000A28CE" w:rsidRPr="008C3E92">
        <w:rPr>
          <w:rFonts w:ascii="Times New Roman" w:eastAsia="Calibri" w:hAnsi="Times New Roman" w:cs="Times New Roman"/>
          <w:color w:val="auto"/>
          <w:lang w:val="hr-HR"/>
        </w:rPr>
        <w:t>u</w:t>
      </w:r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>tvrđenog</w:t>
      </w:r>
      <w:r w:rsidR="000C5E2F" w:rsidRPr="008C3E92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 xml:space="preserve">iznosa </w:t>
      </w:r>
      <w:r w:rsidR="000C5E2F" w:rsidRPr="008C3E92">
        <w:rPr>
          <w:rFonts w:ascii="Times New Roman" w:eastAsia="Calibri" w:hAnsi="Times New Roman" w:cs="Times New Roman"/>
          <w:color w:val="auto"/>
          <w:lang w:val="hr-HR"/>
        </w:rPr>
        <w:t>prihvatljivih troškova</w:t>
      </w:r>
      <w:bookmarkEnd w:id="7"/>
      <w:r w:rsidR="00C734E2" w:rsidRPr="008C3E92">
        <w:rPr>
          <w:rFonts w:ascii="Times New Roman" w:eastAsia="Calibri" w:hAnsi="Times New Roman" w:cs="Times New Roman"/>
          <w:color w:val="auto"/>
          <w:lang w:val="hr-HR"/>
        </w:rPr>
        <w:t>.</w:t>
      </w:r>
      <w:bookmarkEnd w:id="8"/>
    </w:p>
    <w:p w14:paraId="7F86AEF3" w14:textId="426A3AFA" w:rsidR="00F37CA2" w:rsidRPr="008C3E92" w:rsidRDefault="00F37CA2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color w:val="auto"/>
          <w:lang w:val="hr-HR"/>
        </w:rPr>
      </w:pPr>
      <w:r w:rsidRPr="008C3E92">
        <w:rPr>
          <w:i w:val="0"/>
          <w:iCs w:val="0"/>
          <w:color w:val="auto"/>
          <w:lang w:val="hr-HR"/>
        </w:rPr>
        <w:t xml:space="preserve">Članak </w:t>
      </w:r>
      <w:r w:rsidR="002A619E" w:rsidRPr="008C3E92">
        <w:rPr>
          <w:i w:val="0"/>
          <w:iCs w:val="0"/>
          <w:color w:val="auto"/>
          <w:lang w:val="hr-HR"/>
        </w:rPr>
        <w:t>6</w:t>
      </w:r>
      <w:r w:rsidRPr="008C3E92">
        <w:rPr>
          <w:i w:val="0"/>
          <w:iCs w:val="0"/>
          <w:color w:val="auto"/>
          <w:lang w:val="hr-HR"/>
        </w:rPr>
        <w:t>.</w:t>
      </w:r>
    </w:p>
    <w:p w14:paraId="36EFE9E9" w14:textId="36E4BFD1" w:rsidR="002179A6" w:rsidRPr="008C3E92" w:rsidRDefault="00BB7B19" w:rsidP="00A47BC2">
      <w:pPr>
        <w:pStyle w:val="Bodytext50"/>
        <w:shd w:val="clear" w:color="auto" w:fill="auto"/>
        <w:spacing w:before="0" w:after="120" w:line="259" w:lineRule="auto"/>
        <w:jc w:val="center"/>
        <w:rPr>
          <w:i w:val="0"/>
          <w:iCs w:val="0"/>
          <w:color w:val="auto"/>
          <w:lang w:val="hr-HR"/>
        </w:rPr>
      </w:pPr>
      <w:r w:rsidRPr="008C3E92">
        <w:rPr>
          <w:i w:val="0"/>
          <w:iCs w:val="0"/>
          <w:color w:val="auto"/>
          <w:lang w:val="hr-HR"/>
        </w:rPr>
        <w:t>Prihvatljivi troškovi</w:t>
      </w:r>
    </w:p>
    <w:p w14:paraId="03D79117" w14:textId="5E50A947" w:rsidR="00583204" w:rsidRPr="00315B0C" w:rsidRDefault="00583204" w:rsidP="00616C12">
      <w:pPr>
        <w:pStyle w:val="Tijeloteksta4"/>
        <w:numPr>
          <w:ilvl w:val="0"/>
          <w:numId w:val="4"/>
        </w:numPr>
        <w:shd w:val="clear" w:color="auto" w:fill="auto"/>
        <w:tabs>
          <w:tab w:val="left" w:pos="495"/>
        </w:tabs>
        <w:spacing w:after="120" w:line="259" w:lineRule="auto"/>
        <w:ind w:left="500" w:hanging="480"/>
        <w:rPr>
          <w:color w:val="auto"/>
          <w:sz w:val="24"/>
          <w:szCs w:val="24"/>
          <w:lang w:val="hr-HR"/>
        </w:rPr>
      </w:pPr>
      <w:r w:rsidRPr="00315B0C">
        <w:rPr>
          <w:color w:val="auto"/>
          <w:sz w:val="24"/>
          <w:szCs w:val="24"/>
          <w:lang w:val="hr-HR"/>
        </w:rPr>
        <w:t xml:space="preserve">Prihvatljivim troškovima </w:t>
      </w:r>
      <w:r w:rsidR="00F02143" w:rsidRPr="00315B0C">
        <w:rPr>
          <w:color w:val="auto"/>
          <w:sz w:val="24"/>
          <w:szCs w:val="24"/>
          <w:lang w:val="hr-HR"/>
        </w:rPr>
        <w:t>smatraju se troškovi nastali u 2020. godini i do dana predaje zahtjeva u skladu s Pozivom i to:</w:t>
      </w:r>
    </w:p>
    <w:p w14:paraId="7AF4A33C" w14:textId="00655D6B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najma, zakupa odnosno koncesijske naknade poslovnog prostora u kojem se obavlja djelatnost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76D32DA5" w14:textId="1B78B17F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trošak električne energije, vode uz pripadajuće naknade, plin, troškovi vezani uz 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korištenje 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>toplinske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 mreže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08016071" w14:textId="003E0CAA" w:rsidR="00DD4961" w:rsidRPr="008C3E92" w:rsidRDefault="00DD4961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najma softverske opreme, licenci i prava na korištenje programa,</w:t>
      </w:r>
    </w:p>
    <w:p w14:paraId="1E8B007D" w14:textId="0AE5F041" w:rsidR="00B25B46" w:rsidRPr="008C3E92" w:rsidRDefault="00BB7B19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odvo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>z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a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 xml:space="preserve"> komunalnog otpada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559E8477" w14:textId="6C36DE40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komunalne naknade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3D4CA6E4" w14:textId="07392D2F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direktne spomeničke rente</w:t>
      </w:r>
      <w:r w:rsidR="00BB7B19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40AB549E" w14:textId="36DC9AE9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pristojba HRT-a, mjesečna naknada za javno korištenje glazbe (ZAMP)</w:t>
      </w:r>
      <w:r w:rsidR="00BB7B19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07D9F86F" w14:textId="1D9E132E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interneta, fiksne i mobilne telefonske linije</w:t>
      </w:r>
      <w:r w:rsidR="00BB7B19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198FC3A3" w14:textId="3FF6DA3C" w:rsidR="007877BF" w:rsidRPr="008C3E92" w:rsidRDefault="007877BF" w:rsidP="007877BF">
      <w:pPr>
        <w:pStyle w:val="ListParagraph"/>
        <w:numPr>
          <w:ilvl w:val="0"/>
          <w:numId w:val="9"/>
        </w:numPr>
        <w:spacing w:line="259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pretplata na dnevne, tjedne i mjesečne tiskovine,</w:t>
      </w:r>
    </w:p>
    <w:p w14:paraId="501C754B" w14:textId="5B5E9D15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usluge knjigovodstvenog servisa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6ECC9636" w14:textId="1739CF88" w:rsidR="00B25B46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održavanja informacijskog sustava</w:t>
      </w:r>
      <w:r w:rsidR="008D649E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3DC1E3BE" w14:textId="77777777" w:rsidR="007877BF" w:rsidRPr="008C3E92" w:rsidRDefault="00B25B46" w:rsidP="00943A9E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troškovi osiguranja </w:t>
      </w:r>
      <w:r w:rsidR="007877BF" w:rsidRPr="008C3E92">
        <w:rPr>
          <w:rFonts w:ascii="Times New Roman" w:eastAsia="Calibri" w:hAnsi="Times New Roman" w:cs="Times New Roman"/>
          <w:color w:val="auto"/>
          <w:lang w:val="hr-HR"/>
        </w:rPr>
        <w:t>opreme i imovine,</w:t>
      </w:r>
    </w:p>
    <w:p w14:paraId="57BC3DD7" w14:textId="24CC3289" w:rsidR="007877BF" w:rsidRPr="008C3E92" w:rsidRDefault="007877BF" w:rsidP="00BB7B19">
      <w:pPr>
        <w:pStyle w:val="ListParagraph"/>
        <w:numPr>
          <w:ilvl w:val="0"/>
          <w:numId w:val="9"/>
        </w:numPr>
        <w:spacing w:line="259" w:lineRule="auto"/>
        <w:ind w:left="1276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obveznog osiguranja i re</w:t>
      </w:r>
      <w:r w:rsidR="00BB7B19" w:rsidRPr="008C3E92">
        <w:rPr>
          <w:rFonts w:ascii="Times New Roman" w:eastAsia="Calibri" w:hAnsi="Times New Roman" w:cs="Times New Roman"/>
          <w:color w:val="auto"/>
          <w:lang w:val="hr-HR"/>
        </w:rPr>
        <w:t>gistracije gospodarskih vozila,</w:t>
      </w:r>
    </w:p>
    <w:p w14:paraId="1817A8B7" w14:textId="77777777" w:rsidR="007877BF" w:rsidRPr="008C3E92" w:rsidRDefault="00DD4961" w:rsidP="007877BF">
      <w:pPr>
        <w:pStyle w:val="ListParagraph"/>
        <w:numPr>
          <w:ilvl w:val="0"/>
          <w:numId w:val="9"/>
        </w:numPr>
        <w:spacing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usluge tehničke zaštite (čuvanje i nadzor poslovnih prostora),</w:t>
      </w:r>
    </w:p>
    <w:p w14:paraId="6BFE2ACA" w14:textId="573695AE" w:rsidR="007877BF" w:rsidRPr="008C3E92" w:rsidRDefault="007877BF" w:rsidP="007877BF">
      <w:pPr>
        <w:pStyle w:val="ListParagraph"/>
        <w:numPr>
          <w:ilvl w:val="0"/>
          <w:numId w:val="9"/>
        </w:numPr>
        <w:spacing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obave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>zni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h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 xml:space="preserve"> liječnički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h pregleda</w:t>
      </w:r>
    </w:p>
    <w:p w14:paraId="446F1939" w14:textId="77777777" w:rsidR="007877BF" w:rsidRPr="008C3E92" w:rsidRDefault="007877BF" w:rsidP="007877BF">
      <w:pPr>
        <w:pStyle w:val="ListParagraph"/>
        <w:numPr>
          <w:ilvl w:val="0"/>
          <w:numId w:val="9"/>
        </w:numPr>
        <w:spacing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trošak 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>osposobljava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nja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 xml:space="preserve"> za rad na siguran način,</w:t>
      </w:r>
    </w:p>
    <w:p w14:paraId="0AAA2F72" w14:textId="2F81AB5F" w:rsidR="00DD4961" w:rsidRPr="008C3E92" w:rsidRDefault="007877BF" w:rsidP="007877BF">
      <w:pPr>
        <w:pStyle w:val="ListParagraph"/>
        <w:numPr>
          <w:ilvl w:val="0"/>
          <w:numId w:val="9"/>
        </w:numPr>
        <w:spacing w:after="120" w:line="259" w:lineRule="auto"/>
        <w:ind w:left="1276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trošak atestiranja</w:t>
      </w:r>
      <w:r w:rsidR="00DD4961" w:rsidRPr="008C3E92">
        <w:rPr>
          <w:rFonts w:ascii="Times New Roman" w:eastAsia="Calibri" w:hAnsi="Times New Roman" w:cs="Times New Roman"/>
          <w:color w:val="auto"/>
          <w:lang w:val="hr-HR"/>
        </w:rPr>
        <w:t xml:space="preserve"> opreme.</w:t>
      </w:r>
    </w:p>
    <w:p w14:paraId="6AC62091" w14:textId="486947D8" w:rsidR="00A47BC2" w:rsidRPr="008C3E92" w:rsidRDefault="00E018BD" w:rsidP="00BF5D52">
      <w:pPr>
        <w:spacing w:after="120" w:line="259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(3)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8A20F9" w:rsidRPr="008C3E92">
        <w:rPr>
          <w:rFonts w:ascii="Times New Roman" w:hAnsi="Times New Roman" w:cs="Times New Roman"/>
          <w:color w:val="auto"/>
          <w:lang w:val="hr-HR"/>
        </w:rPr>
        <w:t xml:space="preserve">Za izračun intenziteta potpore i prihvatljivih troškova, svi iznosi koji se upotrebljavaju trebaju biti iznosi </w:t>
      </w:r>
      <w:r w:rsidR="006D272A" w:rsidRPr="008C3E92">
        <w:rPr>
          <w:rFonts w:ascii="Times New Roman" w:hAnsi="Times New Roman" w:cs="Times New Roman"/>
          <w:color w:val="auto"/>
          <w:lang w:val="hr-HR"/>
        </w:rPr>
        <w:t>bez PDV-a</w:t>
      </w:r>
      <w:r w:rsidR="00F828DE" w:rsidRPr="008C3E92">
        <w:rPr>
          <w:rFonts w:ascii="Times New Roman" w:hAnsi="Times New Roman" w:cs="Times New Roman"/>
          <w:color w:val="auto"/>
          <w:lang w:val="hr-HR"/>
        </w:rPr>
        <w:t>, trošarina i drugih istorodnih naknada</w:t>
      </w:r>
      <w:r w:rsidR="00BB7B19" w:rsidRPr="008C3E92">
        <w:rPr>
          <w:rFonts w:ascii="Times New Roman" w:hAnsi="Times New Roman" w:cs="Times New Roman"/>
          <w:color w:val="auto"/>
          <w:lang w:val="hr-HR"/>
        </w:rPr>
        <w:t>.</w:t>
      </w:r>
    </w:p>
    <w:p w14:paraId="7F8AD4A7" w14:textId="03F7BD1C" w:rsidR="00BF5D52" w:rsidRPr="008C3E92" w:rsidRDefault="00BF5D52" w:rsidP="00091C4D">
      <w:pPr>
        <w:spacing w:after="120"/>
        <w:jc w:val="both"/>
        <w:rPr>
          <w:rFonts w:ascii="Times New Roman" w:hAnsi="Times New Roman" w:cs="Times New Roman"/>
          <w:color w:val="auto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(4)</w:t>
      </w:r>
      <w:r w:rsidRPr="008C3E92">
        <w:rPr>
          <w:rFonts w:ascii="Times New Roman" w:hAnsi="Times New Roman" w:cs="Times New Roman"/>
          <w:color w:val="auto"/>
          <w:lang w:val="hr-HR"/>
        </w:rPr>
        <w:tab/>
        <w:t>Prihvatljivi troškovi moraju biti popraćeni i temeljeni na vjerodostojnoj dokumentaciji i pisanim dokazima koji trebaju bit</w:t>
      </w:r>
      <w:r w:rsidR="00104AA5" w:rsidRPr="008C3E92">
        <w:rPr>
          <w:rFonts w:ascii="Times New Roman" w:hAnsi="Times New Roman" w:cs="Times New Roman"/>
          <w:color w:val="auto"/>
          <w:lang w:val="hr-HR"/>
        </w:rPr>
        <w:t>i jasni, konkretni i ažurirani.</w:t>
      </w:r>
    </w:p>
    <w:p w14:paraId="18D99210" w14:textId="0A9BB135" w:rsidR="007877BF" w:rsidRPr="008C3E92" w:rsidRDefault="00A47BC2" w:rsidP="00170D80">
      <w:pPr>
        <w:spacing w:after="120" w:line="259" w:lineRule="auto"/>
        <w:jc w:val="both"/>
        <w:rPr>
          <w:rStyle w:val="Heading31"/>
          <w:rFonts w:eastAsia="Arial Unicode MS"/>
          <w:color w:val="auto"/>
          <w:sz w:val="24"/>
          <w:szCs w:val="24"/>
          <w:lang w:val="hr-HR"/>
        </w:rPr>
      </w:pPr>
      <w:r w:rsidRPr="008C3E92">
        <w:rPr>
          <w:rFonts w:ascii="Times New Roman" w:hAnsi="Times New Roman" w:cs="Times New Roman"/>
          <w:color w:val="auto"/>
          <w:lang w:val="hr-HR"/>
        </w:rPr>
        <w:t>(</w:t>
      </w:r>
      <w:r w:rsidR="00BF5D52" w:rsidRPr="008C3E92">
        <w:rPr>
          <w:rFonts w:ascii="Times New Roman" w:hAnsi="Times New Roman" w:cs="Times New Roman"/>
          <w:color w:val="auto"/>
          <w:lang w:val="hr-HR"/>
        </w:rPr>
        <w:t>5</w:t>
      </w:r>
      <w:r w:rsidRPr="008C3E92">
        <w:rPr>
          <w:rFonts w:ascii="Times New Roman" w:hAnsi="Times New Roman" w:cs="Times New Roman"/>
          <w:color w:val="auto"/>
          <w:lang w:val="hr-HR"/>
        </w:rPr>
        <w:t>)</w:t>
      </w:r>
      <w:r w:rsidRPr="008C3E92">
        <w:rPr>
          <w:rFonts w:ascii="Times New Roman" w:hAnsi="Times New Roman" w:cs="Times New Roman"/>
          <w:color w:val="auto"/>
          <w:lang w:val="hr-HR"/>
        </w:rPr>
        <w:tab/>
      </w:r>
      <w:r w:rsidR="00D80AE2" w:rsidRPr="008C3E92">
        <w:rPr>
          <w:color w:val="auto"/>
          <w:lang w:val="hr-HR"/>
        </w:rPr>
        <w:t xml:space="preserve"> 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>Ministarstvo zadržava pravo zatražiti od poduzetnika koji su podnijeli zahtjev za dodjelu potpore dostavu i druge knjigovodstvene i poslovne dokumentacije temeljem koje je moguće potvrditi točnost dostavljenih financijskih informacija u obrascu</w:t>
      </w:r>
      <w:r w:rsidR="00BF5D52" w:rsidRPr="008C3E92">
        <w:rPr>
          <w:rFonts w:ascii="Times New Roman" w:hAnsi="Times New Roman" w:cs="Times New Roman"/>
          <w:color w:val="auto"/>
          <w:lang w:val="hr-HR"/>
        </w:rPr>
        <w:t xml:space="preserve"> koji</w:t>
      </w:r>
      <w:r w:rsidR="00D80AE2" w:rsidRPr="008C3E92">
        <w:rPr>
          <w:rFonts w:ascii="Times New Roman" w:hAnsi="Times New Roman" w:cs="Times New Roman"/>
          <w:color w:val="auto"/>
          <w:lang w:val="hr-HR"/>
        </w:rPr>
        <w:t xml:space="preserve"> čini sastavni dio Poziva, prema ovom Programu</w:t>
      </w:r>
      <w:bookmarkStart w:id="9" w:name="bookmark20"/>
      <w:r w:rsidR="007877BF" w:rsidRPr="008C3E92">
        <w:rPr>
          <w:rFonts w:ascii="Times New Roman" w:hAnsi="Times New Roman" w:cs="Times New Roman"/>
          <w:color w:val="auto"/>
          <w:lang w:val="hr-HR"/>
        </w:rPr>
        <w:t>.</w:t>
      </w:r>
      <w:bookmarkStart w:id="10" w:name="bookmark24"/>
      <w:bookmarkEnd w:id="9"/>
    </w:p>
    <w:p w14:paraId="75B42730" w14:textId="62B07F08" w:rsidR="002179A6" w:rsidRPr="008C3E92" w:rsidRDefault="008A20F9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b w:val="0"/>
          <w:bCs w:val="0"/>
          <w:color w:val="auto"/>
          <w:sz w:val="24"/>
          <w:szCs w:val="24"/>
          <w:lang w:val="hr-HR"/>
        </w:rPr>
      </w:pPr>
      <w:r w:rsidRPr="008C3E92">
        <w:rPr>
          <w:rStyle w:val="Heading31"/>
          <w:color w:val="auto"/>
          <w:sz w:val="24"/>
          <w:szCs w:val="24"/>
          <w:lang w:val="hr-HR"/>
        </w:rPr>
        <w:t xml:space="preserve">Članak </w:t>
      </w:r>
      <w:r w:rsidR="000C5E2F" w:rsidRPr="008C3E92">
        <w:rPr>
          <w:rStyle w:val="Heading31"/>
          <w:color w:val="auto"/>
          <w:sz w:val="24"/>
          <w:szCs w:val="24"/>
          <w:lang w:val="hr-HR"/>
        </w:rPr>
        <w:t>7</w:t>
      </w:r>
      <w:r w:rsidRPr="008C3E92">
        <w:rPr>
          <w:rStyle w:val="Heading31"/>
          <w:color w:val="auto"/>
          <w:sz w:val="24"/>
          <w:szCs w:val="24"/>
          <w:lang w:val="hr-HR"/>
        </w:rPr>
        <w:t>.</w:t>
      </w:r>
      <w:bookmarkEnd w:id="10"/>
    </w:p>
    <w:p w14:paraId="72331199" w14:textId="3A292404" w:rsidR="002179A6" w:rsidRPr="008C3E92" w:rsidRDefault="00414ED8" w:rsidP="00A47BC2">
      <w:pPr>
        <w:pStyle w:val="Heading30"/>
        <w:keepNext/>
        <w:keepLines/>
        <w:shd w:val="clear" w:color="auto" w:fill="auto"/>
        <w:spacing w:before="0" w:after="120" w:line="259" w:lineRule="auto"/>
        <w:jc w:val="center"/>
        <w:rPr>
          <w:rStyle w:val="Heading31"/>
          <w:color w:val="auto"/>
          <w:sz w:val="24"/>
          <w:szCs w:val="24"/>
          <w:lang w:val="hr-HR"/>
        </w:rPr>
      </w:pPr>
      <w:bookmarkStart w:id="11" w:name="bookmark25"/>
      <w:r w:rsidRPr="008C3E92">
        <w:rPr>
          <w:rStyle w:val="Heading31"/>
          <w:color w:val="auto"/>
          <w:sz w:val="24"/>
          <w:szCs w:val="24"/>
          <w:lang w:val="hr-HR"/>
        </w:rPr>
        <w:t xml:space="preserve">Zahtjev za dodjelu </w:t>
      </w:r>
      <w:r w:rsidR="001B1AA2" w:rsidRPr="008C3E92">
        <w:rPr>
          <w:rStyle w:val="Heading31"/>
          <w:color w:val="auto"/>
          <w:sz w:val="24"/>
          <w:szCs w:val="24"/>
          <w:lang w:val="hr-HR"/>
        </w:rPr>
        <w:t>potpor</w:t>
      </w:r>
      <w:bookmarkEnd w:id="11"/>
      <w:r w:rsidRPr="008C3E92">
        <w:rPr>
          <w:rStyle w:val="Heading31"/>
          <w:color w:val="auto"/>
          <w:sz w:val="24"/>
          <w:szCs w:val="24"/>
          <w:lang w:val="hr-HR"/>
        </w:rPr>
        <w:t>e</w:t>
      </w:r>
    </w:p>
    <w:p w14:paraId="1CE2D1DC" w14:textId="463BFDDE" w:rsidR="002179A6" w:rsidRPr="008C3E92" w:rsidRDefault="004B4D15" w:rsidP="00A47BC2">
      <w:pPr>
        <w:pStyle w:val="Tijeloteksta4"/>
        <w:shd w:val="clear" w:color="auto" w:fill="auto"/>
        <w:tabs>
          <w:tab w:val="left" w:pos="709"/>
        </w:tabs>
        <w:spacing w:after="120" w:line="259" w:lineRule="auto"/>
        <w:ind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(1)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Zahtjev za </w:t>
      </w:r>
      <w:r w:rsidRPr="008C3E92">
        <w:rPr>
          <w:rStyle w:val="Tijeloteksta2"/>
          <w:color w:val="auto"/>
          <w:sz w:val="24"/>
          <w:szCs w:val="24"/>
          <w:lang w:val="hr-HR"/>
        </w:rPr>
        <w:t>dodjelu potpore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koji podnosi poduzetnik temeljem </w:t>
      </w:r>
      <w:r w:rsidR="00947CD0" w:rsidRPr="008C3E92">
        <w:rPr>
          <w:rStyle w:val="Tijeloteksta2"/>
          <w:color w:val="auto"/>
          <w:sz w:val="24"/>
          <w:szCs w:val="24"/>
          <w:lang w:val="hr-HR"/>
        </w:rPr>
        <w:t>P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oziva 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>mora sadržavati barem sljedeće informacije:</w:t>
      </w:r>
    </w:p>
    <w:p w14:paraId="0E3E917F" w14:textId="00797A41" w:rsidR="00583152" w:rsidRPr="008C3E92" w:rsidRDefault="00B25B46" w:rsidP="00583152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lastRenderedPageBreak/>
        <w:t>pod</w:t>
      </w:r>
      <w:r w:rsidR="007877BF" w:rsidRPr="008C3E92">
        <w:rPr>
          <w:rFonts w:ascii="Times New Roman" w:eastAsia="Calibri" w:hAnsi="Times New Roman" w:cs="Times New Roman"/>
          <w:color w:val="auto"/>
          <w:lang w:val="hr-HR"/>
        </w:rPr>
        <w:t xml:space="preserve">uzetniku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je </w:t>
      </w:r>
      <w:r w:rsidR="001B1AA2" w:rsidRPr="008C3E92">
        <w:rPr>
          <w:rFonts w:ascii="Times New Roman" w:eastAsia="Calibri" w:hAnsi="Times New Roman" w:cs="Times New Roman"/>
          <w:color w:val="auto"/>
          <w:lang w:val="hr-HR"/>
        </w:rPr>
        <w:t xml:space="preserve">izravno ili neizravno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odlukom Stožera </w:t>
      </w:r>
      <w:r w:rsidR="001B1AA2" w:rsidRPr="008C3E92">
        <w:rPr>
          <w:rFonts w:ascii="Times New Roman" w:eastAsia="Calibri" w:hAnsi="Times New Roman" w:cs="Times New Roman"/>
          <w:color w:val="auto"/>
          <w:lang w:val="hr-HR"/>
        </w:rPr>
        <w:t>c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ivilne zaštite Republike Hrvatske ograničeno poslovanje</w:t>
      </w:r>
      <w:r w:rsidR="001B1AA2" w:rsidRPr="008C3E92">
        <w:rPr>
          <w:rFonts w:ascii="Times New Roman" w:eastAsia="Calibri" w:hAnsi="Times New Roman" w:cs="Times New Roman"/>
          <w:color w:val="auto"/>
          <w:lang w:val="hr-HR"/>
        </w:rPr>
        <w:t>,</w:t>
      </w:r>
    </w:p>
    <w:p w14:paraId="3E32B025" w14:textId="2A7330A9" w:rsidR="00583152" w:rsidRPr="008C3E92" w:rsidRDefault="0011680B" w:rsidP="00F312AE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jc w:val="both"/>
        <w:rPr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izjavu 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>pod</w:t>
      </w:r>
      <w:r w:rsidR="007877BF" w:rsidRPr="008C3E92">
        <w:rPr>
          <w:rFonts w:ascii="Times New Roman" w:eastAsia="Calibri" w:hAnsi="Times New Roman" w:cs="Times New Roman"/>
          <w:color w:val="auto"/>
          <w:lang w:val="hr-HR"/>
        </w:rPr>
        <w:t>uzetnik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a da 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 xml:space="preserve">ne koristi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i nije koristio 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>niti jednu drugu</w:t>
      </w:r>
      <w:r w:rsidR="00F828DE" w:rsidRPr="008C3E92">
        <w:rPr>
          <w:rFonts w:ascii="Times New Roman" w:eastAsia="Calibri" w:hAnsi="Times New Roman" w:cs="Times New Roman"/>
          <w:color w:val="auto"/>
          <w:lang w:val="hr-HR"/>
        </w:rPr>
        <w:t xml:space="preserve"> bespovratnu</w:t>
      </w:r>
      <w:r w:rsidR="00B25B46" w:rsidRPr="008C3E92">
        <w:rPr>
          <w:rFonts w:ascii="Times New Roman" w:eastAsia="Calibri" w:hAnsi="Times New Roman" w:cs="Times New Roman"/>
          <w:color w:val="auto"/>
          <w:lang w:val="hr-HR"/>
        </w:rPr>
        <w:t xml:space="preserve"> potporu ili mjeru nadoknade </w:t>
      </w:r>
      <w:r w:rsidR="004B4D15" w:rsidRPr="008C3E92">
        <w:rPr>
          <w:rFonts w:ascii="Times New Roman" w:eastAsia="Calibri" w:hAnsi="Times New Roman" w:cs="Times New Roman"/>
          <w:color w:val="auto"/>
          <w:lang w:val="hr-HR"/>
        </w:rPr>
        <w:t xml:space="preserve">opravdanih </w:t>
      </w:r>
      <w:r w:rsidR="00DB6B29" w:rsidRPr="008C3E92">
        <w:rPr>
          <w:rFonts w:ascii="Times New Roman" w:eastAsia="Calibri" w:hAnsi="Times New Roman" w:cs="Times New Roman"/>
          <w:color w:val="auto"/>
          <w:lang w:val="hr-HR"/>
        </w:rPr>
        <w:t>tr</w:t>
      </w:r>
      <w:r w:rsidR="004B4D15" w:rsidRPr="008C3E92">
        <w:rPr>
          <w:rFonts w:ascii="Times New Roman" w:eastAsia="Calibri" w:hAnsi="Times New Roman" w:cs="Times New Roman"/>
          <w:color w:val="auto"/>
          <w:lang w:val="hr-HR"/>
        </w:rPr>
        <w:t>oškova poslovanja</w:t>
      </w:r>
    </w:p>
    <w:p w14:paraId="1F5B6A4A" w14:textId="00F8C184" w:rsidR="00583152" w:rsidRPr="008C3E92" w:rsidRDefault="004B4D15" w:rsidP="00583152">
      <w:pPr>
        <w:pStyle w:val="ListParagraph"/>
        <w:numPr>
          <w:ilvl w:val="0"/>
          <w:numId w:val="21"/>
        </w:numPr>
        <w:spacing w:after="120" w:line="259" w:lineRule="auto"/>
        <w:contextualSpacing w:val="0"/>
        <w:jc w:val="both"/>
        <w:rPr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pod</w:t>
      </w:r>
      <w:r w:rsidR="007877BF" w:rsidRPr="008C3E92">
        <w:rPr>
          <w:rFonts w:ascii="Times New Roman" w:eastAsia="Calibri" w:hAnsi="Times New Roman" w:cs="Times New Roman"/>
          <w:color w:val="auto"/>
          <w:lang w:val="hr-HR"/>
        </w:rPr>
        <w:t xml:space="preserve">uzetnik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je poslovao najkasnije od 1. siječnja 2019. godine,</w:t>
      </w:r>
    </w:p>
    <w:p w14:paraId="779A5009" w14:textId="3EA58EE7" w:rsidR="004B4D15" w:rsidRPr="008C3E92" w:rsidRDefault="00B25B46" w:rsidP="00583152">
      <w:pPr>
        <w:numPr>
          <w:ilvl w:val="0"/>
          <w:numId w:val="21"/>
        </w:numPr>
        <w:spacing w:after="120" w:line="259" w:lineRule="auto"/>
        <w:jc w:val="both"/>
        <w:rPr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>pod</w:t>
      </w:r>
      <w:r w:rsidR="007877BF" w:rsidRPr="008C3E92">
        <w:rPr>
          <w:rFonts w:ascii="Times New Roman" w:eastAsia="Calibri" w:hAnsi="Times New Roman" w:cs="Times New Roman"/>
          <w:color w:val="auto"/>
          <w:lang w:val="hr-HR"/>
        </w:rPr>
        <w:t xml:space="preserve">uzetnik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dokazuje pad </w:t>
      </w:r>
      <w:r w:rsidR="00C22F0A" w:rsidRPr="008C3E92">
        <w:rPr>
          <w:rFonts w:ascii="Times New Roman" w:eastAsia="Calibri" w:hAnsi="Times New Roman" w:cs="Times New Roman"/>
          <w:color w:val="auto"/>
          <w:lang w:val="hr-HR"/>
        </w:rPr>
        <w:t xml:space="preserve">poslovnih prihoda 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od najmanje 75% u odnosu na </w:t>
      </w:r>
      <w:r w:rsidR="004B4D15" w:rsidRPr="008C3E92">
        <w:rPr>
          <w:rFonts w:ascii="Times New Roman" w:eastAsia="Calibri" w:hAnsi="Times New Roman" w:cs="Times New Roman"/>
          <w:color w:val="auto"/>
          <w:lang w:val="hr-HR"/>
        </w:rPr>
        <w:t>2019. godinu.</w:t>
      </w:r>
    </w:p>
    <w:p w14:paraId="57D79E52" w14:textId="3F62F77B" w:rsidR="007877BF" w:rsidRPr="008C3E92" w:rsidRDefault="007877BF" w:rsidP="00823E4B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auto"/>
          <w:lang w:val="hr-HR"/>
        </w:rPr>
      </w:pPr>
      <w:r w:rsidRPr="008C3E92">
        <w:rPr>
          <w:rFonts w:ascii="Times New Roman" w:eastAsia="Calibri" w:hAnsi="Times New Roman" w:cs="Times New Roman"/>
          <w:color w:val="auto"/>
          <w:lang w:val="hr-HR"/>
        </w:rPr>
        <w:t xml:space="preserve">poduzetnik je ostvario minimalni godišnji prihod u 2019. godini od obavljanja prihvatljivih djelatnosti u iznosu od </w:t>
      </w:r>
      <w:r w:rsidR="00757AEA" w:rsidRPr="008C3E92">
        <w:rPr>
          <w:rFonts w:ascii="Times New Roman" w:eastAsia="Calibri" w:hAnsi="Times New Roman" w:cs="Times New Roman"/>
          <w:color w:val="auto"/>
          <w:lang w:val="hr-HR"/>
        </w:rPr>
        <w:t>3</w:t>
      </w:r>
      <w:r w:rsidRPr="008C3E92">
        <w:rPr>
          <w:rFonts w:ascii="Times New Roman" w:eastAsia="Calibri" w:hAnsi="Times New Roman" w:cs="Times New Roman"/>
          <w:color w:val="auto"/>
          <w:lang w:val="hr-HR"/>
        </w:rPr>
        <w:t>00.000 kn (od iznosa prihoda odbijaju se oni prihodi ostvareni iz javnih izvora kao što su to potpore iz državnog proračuna, proračuna županija, gradova i općina, javnih fondova i javnih trgovačkih društava i drugih javnih institucija, fondova Europske unije te turističkih zajednica).</w:t>
      </w:r>
    </w:p>
    <w:p w14:paraId="229FFF30" w14:textId="3B14CEAF" w:rsidR="002179A6" w:rsidRPr="008C3E92" w:rsidRDefault="004B4D15" w:rsidP="00BF5D5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(2)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Ministarstvo može u Pozivu iz članka </w:t>
      </w:r>
      <w:r w:rsidR="00947CD0" w:rsidRPr="008C3E92">
        <w:rPr>
          <w:rStyle w:val="Tijeloteksta2"/>
          <w:color w:val="auto"/>
          <w:sz w:val="24"/>
          <w:szCs w:val="24"/>
          <w:lang w:val="hr-HR"/>
        </w:rPr>
        <w:t xml:space="preserve">1, stavak (1) 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 ovog Programa odredit</w:t>
      </w:r>
      <w:r w:rsidRPr="008C3E92">
        <w:rPr>
          <w:rStyle w:val="Tijeloteksta2"/>
          <w:color w:val="auto"/>
          <w:sz w:val="24"/>
          <w:szCs w:val="24"/>
          <w:lang w:val="hr-HR"/>
        </w:rPr>
        <w:t>i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 da se uz 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informacije iz stavka (1) ovog članka 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 xml:space="preserve">dostave i drugi podaci i dokumentacija koji opravdavaju dodjelu potpora za 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poduzetnike </w:t>
      </w:r>
      <w:r w:rsidR="008A20F9" w:rsidRPr="008C3E92">
        <w:rPr>
          <w:rStyle w:val="Tijeloteksta2"/>
          <w:color w:val="auto"/>
          <w:sz w:val="24"/>
          <w:szCs w:val="24"/>
          <w:lang w:val="hr-HR"/>
        </w:rPr>
        <w:t>sukladno ovom Programu</w:t>
      </w:r>
      <w:r w:rsidR="00947CD0" w:rsidRPr="008C3E92">
        <w:rPr>
          <w:rStyle w:val="Tijeloteksta2"/>
          <w:color w:val="auto"/>
          <w:sz w:val="24"/>
          <w:szCs w:val="24"/>
          <w:lang w:val="hr-HR"/>
        </w:rPr>
        <w:t xml:space="preserve">. </w:t>
      </w:r>
    </w:p>
    <w:p w14:paraId="59286B04" w14:textId="72F2D53D" w:rsidR="00414ED8" w:rsidRPr="008C3E92" w:rsidRDefault="00414ED8" w:rsidP="00A47BC2">
      <w:pPr>
        <w:pStyle w:val="Tijeloteksta4"/>
        <w:tabs>
          <w:tab w:val="left" w:pos="418"/>
        </w:tabs>
        <w:spacing w:after="120" w:line="259" w:lineRule="auto"/>
        <w:ind w:right="2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ab/>
        <w:t>(3)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 xml:space="preserve">Zahtjev za dodjelu potpore po ovom Programu poduzetnik podnosi Ministarstvu na propisanom obrascu koji čini sastavni dio </w:t>
      </w:r>
      <w:r w:rsidR="00104AA5" w:rsidRPr="008C3E92">
        <w:rPr>
          <w:rStyle w:val="Tijeloteksta2"/>
          <w:color w:val="auto"/>
          <w:sz w:val="24"/>
          <w:szCs w:val="24"/>
          <w:lang w:val="hr-HR"/>
        </w:rPr>
        <w:t>Poziva.</w:t>
      </w:r>
    </w:p>
    <w:p w14:paraId="5757748F" w14:textId="7385A710" w:rsidR="00414ED8" w:rsidRPr="008C3E92" w:rsidRDefault="00414ED8" w:rsidP="00A47BC2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(4)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>Ministarstvo će dodijeliti potpore male vrijednosti u skladu s ovim Programom tek nakon što utvrdi da to neće povisiti ukupan iznos potpora male vrijednosti koji je jedan poduzetnik primio do razine koja premašuje odgovarajuću gornju granicu iz Uredbe 1407/2013 (200.000,00 EUR u tri godine) i da su ispunjeni svi uvjeti predviđeni ovim Programom.</w:t>
      </w:r>
    </w:p>
    <w:p w14:paraId="7FD77692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bookmarkStart w:id="12" w:name="bookmark26"/>
      <w:bookmarkStart w:id="13" w:name="_Hlk71556088"/>
      <w:r w:rsidRPr="008C3E92">
        <w:rPr>
          <w:color w:val="auto"/>
          <w:sz w:val="24"/>
          <w:szCs w:val="24"/>
          <w:lang w:val="hr-HR"/>
        </w:rPr>
        <w:t>Članak 8.</w:t>
      </w:r>
      <w:bookmarkEnd w:id="12"/>
    </w:p>
    <w:p w14:paraId="07ECC6BD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Rok, namjensko trošenje potpore i izvještavanje</w:t>
      </w:r>
    </w:p>
    <w:p w14:paraId="2190F257" w14:textId="0B71E080" w:rsidR="00C803BA" w:rsidRPr="008C3E92" w:rsidRDefault="00C803BA" w:rsidP="00170D80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(1)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>Poduzetnik koji je ostvario pravo na potporu prema ovom Programu, obvezan je dodijeljena sredstva utrošiti u roku od godine dana od potpisa ugovo</w:t>
      </w:r>
      <w:r w:rsidR="00104AA5" w:rsidRPr="008C3E92">
        <w:rPr>
          <w:rStyle w:val="Tijeloteksta2"/>
          <w:color w:val="auto"/>
          <w:sz w:val="24"/>
          <w:szCs w:val="24"/>
          <w:lang w:val="hr-HR"/>
        </w:rPr>
        <w:t>ra iz članka 11. ovog Programa.</w:t>
      </w:r>
    </w:p>
    <w:p w14:paraId="50ADB77D" w14:textId="2823F812" w:rsidR="00C803BA" w:rsidRPr="008C3E92" w:rsidRDefault="00C803BA" w:rsidP="00170D80">
      <w:pPr>
        <w:pStyle w:val="Tijeloteksta4"/>
        <w:shd w:val="clear" w:color="auto" w:fill="auto"/>
        <w:tabs>
          <w:tab w:val="left" w:pos="418"/>
        </w:tabs>
        <w:spacing w:after="120" w:line="259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(2)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 xml:space="preserve">Poduzetnik je obvezan dodijeljena sredstva potpore utrošiti strogo namjenski, za pokretanje i normalizaciju tekućeg poslovanja uslijed aktualne pandemije COVID-a 19, o čemu je dužan podnijeti pisano izvješće Ministarstvu u roku od 30 dana od isteka </w:t>
      </w:r>
      <w:r w:rsidR="00170D80" w:rsidRPr="008C3E92">
        <w:rPr>
          <w:rStyle w:val="Tijeloteksta2"/>
          <w:color w:val="auto"/>
          <w:sz w:val="24"/>
          <w:szCs w:val="24"/>
          <w:lang w:val="hr-HR"/>
        </w:rPr>
        <w:t>roka iz stavka (1) ovog članka.</w:t>
      </w:r>
    </w:p>
    <w:p w14:paraId="4A6ED36B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Članak 9.</w:t>
      </w:r>
    </w:p>
    <w:p w14:paraId="18B1836B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bookmarkStart w:id="14" w:name="bookmark27"/>
      <w:r w:rsidRPr="008C3E92">
        <w:rPr>
          <w:color w:val="auto"/>
          <w:sz w:val="24"/>
          <w:szCs w:val="24"/>
          <w:lang w:val="hr-HR"/>
        </w:rPr>
        <w:t>Zbrajanje (kumulacija) potpora</w:t>
      </w:r>
      <w:bookmarkEnd w:id="14"/>
    </w:p>
    <w:p w14:paraId="6D0B67A6" w14:textId="3D20742A" w:rsidR="00C803BA" w:rsidRPr="008C3E92" w:rsidRDefault="00C803BA" w:rsidP="00C803BA">
      <w:pPr>
        <w:pStyle w:val="Tijeloteksta4"/>
        <w:tabs>
          <w:tab w:val="left" w:pos="418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(1)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 xml:space="preserve">Potpore male vrijednosti koje se dodjeljuju sukladno ovom Programu mogu se zbrajati s drugim potporama male vrijednosti dodijeljene u skladu s Uredbom Komisije 1407/2013, odnosno mogu se zbrajati s potporama male vrijednosti koje se dodjeljuju poduzetnicima koji pružaju usluge od općeg gospodarskog interesa u skladu s Uredbom Komisije (EU) br. 360/2012 do gornjih granica utvrđenih u Uredbi Komisije </w:t>
      </w:r>
      <w:r w:rsidR="00315B0C" w:rsidRPr="008C3E92">
        <w:rPr>
          <w:rStyle w:val="Tijeloteksta2"/>
          <w:color w:val="auto"/>
          <w:sz w:val="24"/>
          <w:szCs w:val="24"/>
          <w:lang w:val="hr-HR"/>
        </w:rPr>
        <w:t>360/2012</w:t>
      </w:r>
      <w:r w:rsidRPr="008C3E92">
        <w:rPr>
          <w:rStyle w:val="Tijeloteksta2"/>
          <w:color w:val="auto"/>
          <w:sz w:val="24"/>
          <w:szCs w:val="24"/>
          <w:lang w:val="hr-HR"/>
        </w:rPr>
        <w:t>.</w:t>
      </w:r>
    </w:p>
    <w:bookmarkEnd w:id="13"/>
    <w:p w14:paraId="69944BF4" w14:textId="380E8472" w:rsidR="00C803BA" w:rsidRDefault="00C803BA" w:rsidP="00C803BA">
      <w:pPr>
        <w:pStyle w:val="Tijeloteksta4"/>
        <w:tabs>
          <w:tab w:val="left" w:pos="433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(2)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>Prilikom utvrđivanja poštuju li se odredbe ovog članka o zbrajanju potpora, uzimat će se u obzir svi iznosi potpora koje su određenom poduzetniku, projektu ili aktivnosti dodijeljene iz državnih/javnih izvora neovisno o tomu radi li se o sredstvima na razini središnje države ili sredstvima dodijeljenim od strane jedinica lokalne i područne (regionalne) samouprave.</w:t>
      </w:r>
    </w:p>
    <w:p w14:paraId="1FFBE26E" w14:textId="39160B5D" w:rsidR="00315B0C" w:rsidRPr="008C3E92" w:rsidRDefault="00315B0C" w:rsidP="00C803BA">
      <w:pPr>
        <w:pStyle w:val="Tijeloteksta4"/>
        <w:tabs>
          <w:tab w:val="left" w:pos="433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>
        <w:rPr>
          <w:rStyle w:val="Tijeloteksta2"/>
          <w:color w:val="auto"/>
          <w:sz w:val="24"/>
          <w:szCs w:val="24"/>
          <w:lang w:val="hr-HR"/>
        </w:rPr>
        <w:lastRenderedPageBreak/>
        <w:t>(3)</w:t>
      </w:r>
      <w:r>
        <w:rPr>
          <w:rStyle w:val="Tijeloteksta2"/>
          <w:color w:val="auto"/>
          <w:sz w:val="24"/>
          <w:szCs w:val="24"/>
          <w:lang w:val="hr-HR"/>
        </w:rPr>
        <w:tab/>
      </w:r>
      <w:r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>Potpore male vrijednosti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ne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kumuliraju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državnim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potporama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vezi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istim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prihvatljivim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troškovima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ili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</w:t>
      </w:r>
      <w:r>
        <w:rPr>
          <w:rStyle w:val="Tijeloteksta2"/>
          <w:color w:val="auto"/>
          <w:sz w:val="24"/>
          <w:szCs w:val="24"/>
          <w:lang w:val="hr-HR"/>
        </w:rPr>
        <w:t xml:space="preserve"> drža</w:t>
      </w:r>
      <w:r w:rsidRPr="00315B0C">
        <w:rPr>
          <w:rStyle w:val="Tijeloteksta2"/>
          <w:color w:val="auto"/>
          <w:sz w:val="24"/>
          <w:szCs w:val="24"/>
          <w:lang w:val="hr-HR"/>
        </w:rPr>
        <w:t>vnim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potporama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za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istu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mjeru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rizičnog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financiranja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ako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bi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takva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kumulacija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prelazila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primjenjivi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najviši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intenzitet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ili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iznos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potpore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koji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je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konkretnim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okolnostima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svakog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pojedinog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slučaja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utvrđen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uredbom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skupnom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izuzeću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odnosno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odlukom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Komisije.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Potpore male vrijednosti </w:t>
      </w:r>
      <w:r w:rsidRPr="00315B0C">
        <w:rPr>
          <w:rStyle w:val="Tijeloteksta2"/>
          <w:color w:val="auto"/>
          <w:sz w:val="24"/>
          <w:szCs w:val="24"/>
          <w:lang w:val="hr-HR"/>
        </w:rPr>
        <w:t>koje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nisu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dodijeljene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za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određene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opravdane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troškove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ili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njima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ne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mogu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pripisati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mogu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se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kumulirati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drugim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državnim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potporama</w:t>
      </w:r>
      <w:r>
        <w:rPr>
          <w:rStyle w:val="Tijeloteksta2"/>
          <w:color w:val="auto"/>
          <w:sz w:val="24"/>
          <w:szCs w:val="24"/>
          <w:lang w:val="hr-HR"/>
        </w:rPr>
        <w:t xml:space="preserve"> dodijelje</w:t>
      </w:r>
      <w:r w:rsidRPr="00315B0C">
        <w:rPr>
          <w:rStyle w:val="Tijeloteksta2"/>
          <w:color w:val="auto"/>
          <w:sz w:val="24"/>
          <w:szCs w:val="24"/>
          <w:lang w:val="hr-HR"/>
        </w:rPr>
        <w:t>nima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skladu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uredbom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skupnom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izuzeću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ili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odlukom</w:t>
      </w:r>
      <w:r>
        <w:rPr>
          <w:rStyle w:val="Tijeloteksta2"/>
          <w:color w:val="auto"/>
          <w:sz w:val="24"/>
          <w:szCs w:val="24"/>
          <w:lang w:val="hr-HR"/>
        </w:rPr>
        <w:t xml:space="preserve"> </w:t>
      </w:r>
      <w:r w:rsidRPr="00315B0C">
        <w:rPr>
          <w:rStyle w:val="Tijeloteksta2"/>
          <w:color w:val="auto"/>
          <w:sz w:val="24"/>
          <w:szCs w:val="24"/>
          <w:lang w:val="hr-HR"/>
        </w:rPr>
        <w:t>Komisije</w:t>
      </w:r>
      <w:r w:rsidR="003E6284">
        <w:rPr>
          <w:rStyle w:val="Tijeloteksta2"/>
          <w:color w:val="auto"/>
          <w:sz w:val="24"/>
          <w:szCs w:val="24"/>
          <w:lang w:val="hr-HR"/>
        </w:rPr>
        <w:t xml:space="preserve"> u skladu s Uredbom Komisije 1407/2013.</w:t>
      </w:r>
    </w:p>
    <w:p w14:paraId="7932CB32" w14:textId="77777777" w:rsidR="00C803BA" w:rsidRPr="008C3E92" w:rsidRDefault="00C803BA" w:rsidP="00C803BA">
      <w:pPr>
        <w:pStyle w:val="Tijeloteksta4"/>
        <w:shd w:val="clear" w:color="auto" w:fill="auto"/>
        <w:tabs>
          <w:tab w:val="left" w:pos="433"/>
        </w:tabs>
        <w:spacing w:after="120" w:line="256" w:lineRule="auto"/>
        <w:ind w:left="460" w:right="20" w:firstLine="0"/>
        <w:rPr>
          <w:color w:val="auto"/>
          <w:lang w:val="hr-HR"/>
        </w:rPr>
      </w:pPr>
    </w:p>
    <w:p w14:paraId="2CAA2B29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bookmarkStart w:id="15" w:name="bookmark28"/>
      <w:r w:rsidRPr="008C3E92">
        <w:rPr>
          <w:color w:val="auto"/>
          <w:sz w:val="24"/>
          <w:szCs w:val="24"/>
          <w:lang w:val="hr-HR"/>
        </w:rPr>
        <w:t>Članak 10.</w:t>
      </w:r>
      <w:bookmarkEnd w:id="15"/>
    </w:p>
    <w:p w14:paraId="17469040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bookmarkStart w:id="16" w:name="bookmark29"/>
      <w:r w:rsidRPr="008C3E92">
        <w:rPr>
          <w:color w:val="auto"/>
          <w:sz w:val="24"/>
          <w:szCs w:val="24"/>
          <w:lang w:val="hr-HR"/>
        </w:rPr>
        <w:t>Trajanje Programa</w:t>
      </w:r>
      <w:bookmarkEnd w:id="16"/>
    </w:p>
    <w:p w14:paraId="09189E40" w14:textId="77777777" w:rsidR="00C803BA" w:rsidRPr="008C3E92" w:rsidRDefault="00C803BA" w:rsidP="00C803BA">
      <w:pPr>
        <w:pStyle w:val="Tijeloteksta4"/>
        <w:tabs>
          <w:tab w:val="left" w:pos="418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(1)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>Potpore iz ovog Programa dodjeljivat će se do iskorištenja sredstava, a najkasnije do 31. prosinca 2021. godine.</w:t>
      </w:r>
    </w:p>
    <w:p w14:paraId="107BBD2B" w14:textId="77777777" w:rsidR="00C803BA" w:rsidRPr="008C3E92" w:rsidRDefault="00C803BA" w:rsidP="00C803BA">
      <w:pPr>
        <w:pStyle w:val="Tijeloteksta4"/>
        <w:tabs>
          <w:tab w:val="left" w:pos="418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(2)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  <w:t>Ukupan iznos potpore raspoloživ za ovaj Program iznosi 54.000.000 kuna.</w:t>
      </w:r>
    </w:p>
    <w:p w14:paraId="7614CBC5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lang w:val="hr-HR"/>
        </w:rPr>
      </w:pPr>
      <w:bookmarkStart w:id="17" w:name="bookmark30"/>
    </w:p>
    <w:p w14:paraId="16DA4AC4" w14:textId="77777777" w:rsidR="00C803BA" w:rsidRPr="008C3E92" w:rsidRDefault="00C803BA" w:rsidP="00C803BA">
      <w:pPr>
        <w:pStyle w:val="Heading30"/>
        <w:keepNext/>
        <w:keepLines/>
        <w:shd w:val="clear" w:color="auto" w:fill="auto"/>
        <w:spacing w:before="0" w:after="120" w:line="256" w:lineRule="auto"/>
        <w:jc w:val="center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Članak 11.</w:t>
      </w:r>
      <w:bookmarkEnd w:id="17"/>
    </w:p>
    <w:p w14:paraId="4F7300F7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420" w:right="20"/>
        <w:jc w:val="center"/>
        <w:rPr>
          <w:b/>
          <w:color w:val="auto"/>
          <w:sz w:val="24"/>
          <w:szCs w:val="24"/>
          <w:lang w:val="hr-HR"/>
        </w:rPr>
      </w:pPr>
      <w:r w:rsidRPr="008C3E92">
        <w:rPr>
          <w:b/>
          <w:color w:val="auto"/>
          <w:sz w:val="24"/>
          <w:szCs w:val="24"/>
          <w:lang w:val="hr-HR"/>
        </w:rPr>
        <w:t xml:space="preserve">Obveze Ministarstva </w:t>
      </w:r>
    </w:p>
    <w:p w14:paraId="09F8F3AD" w14:textId="77777777" w:rsidR="00C803BA" w:rsidRPr="008C3E92" w:rsidRDefault="00C803BA" w:rsidP="00C803BA">
      <w:pPr>
        <w:pStyle w:val="Tijeloteksta4"/>
        <w:tabs>
          <w:tab w:val="left" w:pos="0"/>
        </w:tabs>
        <w:spacing w:after="120" w:line="256" w:lineRule="auto"/>
        <w:ind w:right="23" w:firstLine="0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(1)</w:t>
      </w:r>
      <w:r w:rsidRPr="008C3E92">
        <w:rPr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>Ukoliko poduzetnik ispuni uvjete, a Ministarstvo odobri potporu u korist poduzetnika, Ministarstvo</w:t>
      </w:r>
      <w:r w:rsidRPr="008C3E92">
        <w:rPr>
          <w:color w:val="auto"/>
          <w:sz w:val="24"/>
          <w:szCs w:val="24"/>
          <w:lang w:val="hr-HR"/>
        </w:rPr>
        <w:t xml:space="preserve"> je dužno:</w:t>
      </w:r>
    </w:p>
    <w:p w14:paraId="2EA8F590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971" w:right="23" w:hanging="601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-</w:t>
      </w:r>
      <w:r w:rsidRPr="008C3E92">
        <w:rPr>
          <w:color w:val="auto"/>
          <w:sz w:val="24"/>
          <w:szCs w:val="24"/>
          <w:lang w:val="hr-HR"/>
        </w:rPr>
        <w:tab/>
        <w:t>pisano obavijestiti poduzetnika o predviđenom iznosu potpore male vrijednosti kao i o tome da mu je dodijeljena potpora male vrijednosti, sve pozivajući se na Uredbu 1407/2013 i na ovaj Program te sklopiti ugovor s poduzetnikom;</w:t>
      </w:r>
    </w:p>
    <w:p w14:paraId="22E15441" w14:textId="67911C01" w:rsidR="00C803BA" w:rsidRPr="008C3E92" w:rsidRDefault="00C803BA" w:rsidP="00315B0C">
      <w:pPr>
        <w:pStyle w:val="Tijeloteksta4"/>
        <w:tabs>
          <w:tab w:val="left" w:pos="370"/>
        </w:tabs>
        <w:spacing w:after="120" w:line="256" w:lineRule="auto"/>
        <w:ind w:left="971" w:right="23" w:hanging="601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-</w:t>
      </w:r>
      <w:r w:rsidRPr="008C3E92">
        <w:rPr>
          <w:color w:val="auto"/>
          <w:sz w:val="24"/>
          <w:szCs w:val="24"/>
          <w:lang w:val="hr-HR"/>
        </w:rPr>
        <w:tab/>
      </w:r>
      <w:r w:rsidR="00315B0C" w:rsidRPr="00315B0C">
        <w:rPr>
          <w:color w:val="auto"/>
          <w:sz w:val="24"/>
          <w:szCs w:val="24"/>
          <w:lang w:val="hr-HR"/>
        </w:rPr>
        <w:t>dostaviti podatke o dodijeljenim</w:t>
      </w:r>
      <w:r w:rsidR="00315B0C">
        <w:rPr>
          <w:color w:val="auto"/>
          <w:sz w:val="24"/>
          <w:szCs w:val="24"/>
          <w:lang w:val="hr-HR"/>
        </w:rPr>
        <w:t xml:space="preserve"> </w:t>
      </w:r>
      <w:r w:rsidR="00315B0C" w:rsidRPr="00315B0C">
        <w:rPr>
          <w:color w:val="auto"/>
          <w:sz w:val="24"/>
          <w:szCs w:val="24"/>
          <w:lang w:val="hr-HR"/>
        </w:rPr>
        <w:t>dr</w:t>
      </w:r>
      <w:r w:rsidR="00315B0C">
        <w:rPr>
          <w:color w:val="auto"/>
          <w:sz w:val="24"/>
          <w:szCs w:val="24"/>
          <w:lang w:val="hr-HR"/>
        </w:rPr>
        <w:t>ž</w:t>
      </w:r>
      <w:r w:rsidR="00315B0C" w:rsidRPr="00315B0C">
        <w:rPr>
          <w:color w:val="auto"/>
          <w:sz w:val="24"/>
          <w:szCs w:val="24"/>
          <w:lang w:val="hr-HR"/>
        </w:rPr>
        <w:t>avnim potporama Ministarstvu financija bez odgode putem Intemet aplikacije registra</w:t>
      </w:r>
      <w:r w:rsidR="00315B0C">
        <w:rPr>
          <w:color w:val="auto"/>
          <w:sz w:val="24"/>
          <w:szCs w:val="24"/>
          <w:lang w:val="hr-HR"/>
        </w:rPr>
        <w:t xml:space="preserve"> drž</w:t>
      </w:r>
      <w:r w:rsidR="00315B0C" w:rsidRPr="00315B0C">
        <w:rPr>
          <w:color w:val="auto"/>
          <w:sz w:val="24"/>
          <w:szCs w:val="24"/>
          <w:lang w:val="hr-HR"/>
        </w:rPr>
        <w:t>avnih potpora i potpora male vrijednosti sukladno Pra</w:t>
      </w:r>
      <w:r w:rsidR="00315B0C">
        <w:rPr>
          <w:color w:val="auto"/>
          <w:sz w:val="24"/>
          <w:szCs w:val="24"/>
          <w:lang w:val="hr-HR"/>
        </w:rPr>
        <w:t>vilniku o dostavi prijedloga drž</w:t>
      </w:r>
      <w:r w:rsidR="00315B0C" w:rsidRPr="00315B0C">
        <w:rPr>
          <w:color w:val="auto"/>
          <w:sz w:val="24"/>
          <w:szCs w:val="24"/>
          <w:lang w:val="hr-HR"/>
        </w:rPr>
        <w:t>avnih</w:t>
      </w:r>
      <w:r w:rsidR="00315B0C">
        <w:rPr>
          <w:color w:val="auto"/>
          <w:sz w:val="24"/>
          <w:szCs w:val="24"/>
          <w:lang w:val="hr-HR"/>
        </w:rPr>
        <w:t xml:space="preserve"> potpora, podataka o drž</w:t>
      </w:r>
      <w:r w:rsidR="00315B0C" w:rsidRPr="00315B0C">
        <w:rPr>
          <w:color w:val="auto"/>
          <w:sz w:val="24"/>
          <w:szCs w:val="24"/>
          <w:lang w:val="hr-HR"/>
        </w:rPr>
        <w:t xml:space="preserve">avnim potporama i potporama </w:t>
      </w:r>
      <w:r w:rsidR="00315B0C">
        <w:rPr>
          <w:color w:val="auto"/>
          <w:sz w:val="24"/>
          <w:szCs w:val="24"/>
          <w:lang w:val="hr-HR"/>
        </w:rPr>
        <w:t>male vrijednosti te registru drž</w:t>
      </w:r>
      <w:r w:rsidR="00315B0C" w:rsidRPr="00315B0C">
        <w:rPr>
          <w:color w:val="auto"/>
          <w:sz w:val="24"/>
          <w:szCs w:val="24"/>
          <w:lang w:val="hr-HR"/>
        </w:rPr>
        <w:t>avnih</w:t>
      </w:r>
      <w:r w:rsidR="00315B0C">
        <w:rPr>
          <w:color w:val="auto"/>
          <w:sz w:val="24"/>
          <w:szCs w:val="24"/>
          <w:lang w:val="hr-HR"/>
        </w:rPr>
        <w:t xml:space="preserve"> </w:t>
      </w:r>
      <w:r w:rsidR="00315B0C" w:rsidRPr="00315B0C">
        <w:rPr>
          <w:color w:val="auto"/>
          <w:sz w:val="24"/>
          <w:szCs w:val="24"/>
          <w:lang w:val="hr-HR"/>
        </w:rPr>
        <w:t>potpora i potpora male vrijednosti</w:t>
      </w:r>
      <w:r w:rsidR="003E6284">
        <w:rPr>
          <w:color w:val="auto"/>
          <w:sz w:val="24"/>
          <w:szCs w:val="24"/>
          <w:lang w:val="hr-HR"/>
        </w:rPr>
        <w:t xml:space="preserve"> („Narodne novine“, broj 125/17)</w:t>
      </w:r>
      <w:r w:rsidR="00315B0C">
        <w:rPr>
          <w:color w:val="auto"/>
          <w:sz w:val="24"/>
          <w:szCs w:val="24"/>
          <w:lang w:val="hr-HR"/>
        </w:rPr>
        <w:t>;</w:t>
      </w:r>
    </w:p>
    <w:p w14:paraId="396A0B45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971" w:right="23" w:hanging="601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-</w:t>
      </w:r>
      <w:r w:rsidRPr="008C3E92">
        <w:rPr>
          <w:color w:val="auto"/>
          <w:sz w:val="24"/>
          <w:szCs w:val="24"/>
          <w:lang w:val="hr-HR"/>
        </w:rPr>
        <w:tab/>
        <w:t>čuvati podatke o dodijeljenim potporama deset godina od dana dodjele.</w:t>
      </w:r>
    </w:p>
    <w:p w14:paraId="343F1EBF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420" w:right="23" w:hanging="601"/>
        <w:rPr>
          <w:color w:val="auto"/>
          <w:sz w:val="24"/>
          <w:szCs w:val="24"/>
          <w:lang w:val="hr-HR"/>
        </w:rPr>
      </w:pPr>
    </w:p>
    <w:p w14:paraId="748B6691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420" w:right="20"/>
        <w:jc w:val="center"/>
        <w:rPr>
          <w:b/>
          <w:color w:val="auto"/>
          <w:sz w:val="24"/>
          <w:szCs w:val="24"/>
          <w:lang w:val="hr-HR"/>
        </w:rPr>
      </w:pPr>
      <w:r w:rsidRPr="008C3E92">
        <w:rPr>
          <w:b/>
          <w:color w:val="auto"/>
          <w:sz w:val="24"/>
          <w:szCs w:val="24"/>
          <w:lang w:val="hr-HR"/>
        </w:rPr>
        <w:t>Članak 12.</w:t>
      </w:r>
    </w:p>
    <w:p w14:paraId="22EAB912" w14:textId="77777777" w:rsidR="00C803BA" w:rsidRPr="008C3E92" w:rsidRDefault="00C803BA" w:rsidP="00C803BA">
      <w:pPr>
        <w:pStyle w:val="Tijeloteksta4"/>
        <w:tabs>
          <w:tab w:val="left" w:pos="370"/>
        </w:tabs>
        <w:spacing w:after="120" w:line="256" w:lineRule="auto"/>
        <w:ind w:left="420" w:right="23" w:hanging="601"/>
        <w:jc w:val="center"/>
        <w:rPr>
          <w:b/>
          <w:color w:val="auto"/>
          <w:sz w:val="24"/>
          <w:szCs w:val="24"/>
          <w:lang w:val="hr-HR"/>
        </w:rPr>
      </w:pPr>
      <w:r w:rsidRPr="008C3E92">
        <w:rPr>
          <w:b/>
          <w:color w:val="auto"/>
          <w:sz w:val="24"/>
          <w:szCs w:val="24"/>
          <w:lang w:val="hr-HR"/>
        </w:rPr>
        <w:t>Stupanje Programa na snagu i prijelazne odredbe</w:t>
      </w:r>
    </w:p>
    <w:p w14:paraId="21CAACB3" w14:textId="5B00FF79" w:rsidR="00C803BA" w:rsidRPr="008C3E92" w:rsidRDefault="00C803BA" w:rsidP="00C803BA">
      <w:pPr>
        <w:pStyle w:val="Tijeloteksta4"/>
        <w:tabs>
          <w:tab w:val="left" w:pos="418"/>
        </w:tabs>
        <w:spacing w:after="120" w:line="256" w:lineRule="auto"/>
        <w:ind w:right="20" w:firstLine="0"/>
        <w:rPr>
          <w:rStyle w:val="Tijeloteksta2"/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(1)</w:t>
      </w:r>
      <w:r w:rsidRPr="008C3E92">
        <w:rPr>
          <w:color w:val="auto"/>
          <w:sz w:val="24"/>
          <w:szCs w:val="24"/>
          <w:lang w:val="hr-HR"/>
        </w:rPr>
        <w:tab/>
      </w:r>
      <w:r w:rsidRPr="008C3E92">
        <w:rPr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>Ovaj Program stupa na snagu s danom donošenja te se objavljuje na mrežnoj stranici Ministarstva:</w:t>
      </w:r>
      <w:r w:rsidR="00170D80" w:rsidRPr="008C3E92">
        <w:rPr>
          <w:rStyle w:val="Tijeloteksta2"/>
          <w:color w:val="auto"/>
          <w:sz w:val="24"/>
          <w:szCs w:val="24"/>
          <w:lang w:val="hr-HR"/>
        </w:rPr>
        <w:t xml:space="preserve"> </w:t>
      </w:r>
      <w:hyperlink r:id="rId8" w:history="1">
        <w:r w:rsidR="00170D80" w:rsidRPr="008C3E92">
          <w:rPr>
            <w:rStyle w:val="Hyperlink"/>
            <w:color w:val="auto"/>
            <w:sz w:val="24"/>
            <w:szCs w:val="24"/>
            <w:lang w:val="hr-HR"/>
          </w:rPr>
          <w:t>https://min-kulture.gov.hr/</w:t>
        </w:r>
      </w:hyperlink>
      <w:r w:rsidR="00170D80" w:rsidRPr="008C3E92">
        <w:rPr>
          <w:rStyle w:val="Tijeloteksta2"/>
          <w:color w:val="auto"/>
          <w:sz w:val="24"/>
          <w:szCs w:val="24"/>
          <w:lang w:val="hr-HR"/>
        </w:rPr>
        <w:t xml:space="preserve">. </w:t>
      </w:r>
      <w:r w:rsidRPr="008C3E92">
        <w:rPr>
          <w:rStyle w:val="Tijeloteksta2"/>
          <w:color w:val="auto"/>
          <w:sz w:val="24"/>
          <w:szCs w:val="24"/>
          <w:lang w:val="hr-HR"/>
        </w:rPr>
        <w:t xml:space="preserve">Na istoj se mrežnoj stranici objavljuje i Poziv.  </w:t>
      </w:r>
    </w:p>
    <w:p w14:paraId="77501B9A" w14:textId="0D68B0D3" w:rsidR="00C803BA" w:rsidRPr="008C3E92" w:rsidRDefault="00C803BA" w:rsidP="00C803BA">
      <w:pPr>
        <w:pStyle w:val="Tijeloteksta4"/>
        <w:tabs>
          <w:tab w:val="left" w:pos="418"/>
        </w:tabs>
        <w:spacing w:after="120" w:line="256" w:lineRule="auto"/>
        <w:ind w:right="20" w:firstLine="0"/>
        <w:rPr>
          <w:color w:val="auto"/>
          <w:lang w:val="hr-HR"/>
        </w:rPr>
      </w:pPr>
      <w:r w:rsidRPr="008C3E92">
        <w:rPr>
          <w:rStyle w:val="Tijeloteksta2"/>
          <w:color w:val="auto"/>
          <w:sz w:val="24"/>
          <w:szCs w:val="24"/>
          <w:lang w:val="hr-HR"/>
        </w:rPr>
        <w:t>(2)</w:t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rStyle w:val="Tijeloteksta2"/>
          <w:color w:val="auto"/>
          <w:sz w:val="24"/>
          <w:szCs w:val="24"/>
          <w:lang w:val="hr-HR"/>
        </w:rPr>
        <w:tab/>
      </w:r>
      <w:r w:rsidRPr="008C3E92">
        <w:rPr>
          <w:color w:val="auto"/>
          <w:sz w:val="24"/>
          <w:szCs w:val="24"/>
          <w:lang w:val="hr-HR"/>
        </w:rPr>
        <w:t>Ministarstvo će objavljivati popis poduzetnika i iznose potpora koje su poduzetnici dobili po ovom Programu na mrežnoj stran</w:t>
      </w:r>
      <w:r w:rsidR="00170D80" w:rsidRPr="008C3E92">
        <w:rPr>
          <w:color w:val="auto"/>
          <w:sz w:val="24"/>
          <w:szCs w:val="24"/>
          <w:lang w:val="hr-HR"/>
        </w:rPr>
        <w:t>ici iz stavka (1) ovog članka.</w:t>
      </w:r>
    </w:p>
    <w:p w14:paraId="4388A30B" w14:textId="77777777" w:rsidR="00A2603C" w:rsidRPr="008C3E92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color w:val="auto"/>
          <w:sz w:val="24"/>
          <w:szCs w:val="24"/>
          <w:lang w:val="hr-HR"/>
        </w:rPr>
      </w:pPr>
    </w:p>
    <w:p w14:paraId="6BE3AC7E" w14:textId="77777777" w:rsidR="00A2603C" w:rsidRPr="008C3E92" w:rsidRDefault="00A2603C" w:rsidP="00A47BC2">
      <w:pPr>
        <w:pStyle w:val="Bodytext60"/>
        <w:spacing w:after="120" w:line="259" w:lineRule="auto"/>
        <w:ind w:left="284" w:right="340" w:hanging="23"/>
        <w:jc w:val="both"/>
        <w:rPr>
          <w:color w:val="auto"/>
          <w:sz w:val="24"/>
          <w:szCs w:val="24"/>
          <w:lang w:val="hr-HR"/>
        </w:rPr>
      </w:pPr>
    </w:p>
    <w:p w14:paraId="650061E1" w14:textId="1E5AA24F" w:rsidR="002666CD" w:rsidRPr="008C3E92" w:rsidRDefault="00E018BD" w:rsidP="00A47BC2">
      <w:pPr>
        <w:pStyle w:val="Bodytext60"/>
        <w:spacing w:after="120" w:line="259" w:lineRule="auto"/>
        <w:ind w:left="284" w:right="340" w:hanging="23"/>
        <w:jc w:val="both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K</w:t>
      </w:r>
      <w:r w:rsidR="00104AA5" w:rsidRPr="008C3E92">
        <w:rPr>
          <w:color w:val="auto"/>
          <w:sz w:val="24"/>
          <w:szCs w:val="24"/>
          <w:lang w:val="hr-HR"/>
        </w:rPr>
        <w:t xml:space="preserve">LASA: </w:t>
      </w:r>
    </w:p>
    <w:p w14:paraId="5AB7DB47" w14:textId="79094501" w:rsidR="002666CD" w:rsidRPr="008C3E92" w:rsidRDefault="00104AA5" w:rsidP="00A47BC2">
      <w:pPr>
        <w:pStyle w:val="Bodytext60"/>
        <w:spacing w:after="120" w:line="259" w:lineRule="auto"/>
        <w:ind w:left="284" w:right="340" w:hanging="23"/>
        <w:jc w:val="both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 xml:space="preserve">URBROJ: </w:t>
      </w:r>
    </w:p>
    <w:p w14:paraId="5A640F8E" w14:textId="2DA51F97" w:rsidR="002666CD" w:rsidRPr="008C3E92" w:rsidRDefault="00104AA5" w:rsidP="00A47BC2">
      <w:pPr>
        <w:pStyle w:val="Bodytext60"/>
        <w:spacing w:after="120" w:line="259" w:lineRule="auto"/>
        <w:ind w:left="284" w:right="340" w:hanging="23"/>
        <w:jc w:val="both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lastRenderedPageBreak/>
        <w:t xml:space="preserve">Zagreb, </w:t>
      </w:r>
    </w:p>
    <w:p w14:paraId="566E8CB2" w14:textId="199D4433" w:rsidR="002666CD" w:rsidRPr="008C3E92" w:rsidRDefault="002666CD" w:rsidP="00D67172">
      <w:pPr>
        <w:pStyle w:val="Bodytext60"/>
        <w:spacing w:after="120" w:line="259" w:lineRule="auto"/>
        <w:ind w:left="5240" w:right="340" w:firstLine="424"/>
        <w:jc w:val="both"/>
        <w:rPr>
          <w:color w:val="auto"/>
          <w:sz w:val="24"/>
          <w:szCs w:val="24"/>
          <w:lang w:val="hr-HR"/>
        </w:rPr>
      </w:pPr>
      <w:r w:rsidRPr="008C3E92">
        <w:rPr>
          <w:color w:val="auto"/>
          <w:sz w:val="24"/>
          <w:szCs w:val="24"/>
          <w:lang w:val="hr-HR"/>
        </w:rPr>
        <w:t>MINISTR</w:t>
      </w:r>
      <w:r w:rsidR="00DB6B29" w:rsidRPr="008C3E92">
        <w:rPr>
          <w:color w:val="auto"/>
          <w:sz w:val="24"/>
          <w:szCs w:val="24"/>
          <w:lang w:val="hr-HR"/>
        </w:rPr>
        <w:t>ICA</w:t>
      </w:r>
    </w:p>
    <w:sectPr w:rsidR="002666CD" w:rsidRPr="008C3E92" w:rsidSect="00D67172">
      <w:footerReference w:type="default" r:id="rId9"/>
      <w:type w:val="continuous"/>
      <w:pgSz w:w="11905" w:h="16837"/>
      <w:pgMar w:top="1134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A9170" w14:textId="77777777" w:rsidR="00281BDA" w:rsidRDefault="00281BDA" w:rsidP="002179A6">
      <w:r>
        <w:separator/>
      </w:r>
    </w:p>
  </w:endnote>
  <w:endnote w:type="continuationSeparator" w:id="0">
    <w:p w14:paraId="1E1C0E67" w14:textId="77777777" w:rsidR="00281BDA" w:rsidRDefault="00281BDA" w:rsidP="0021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1F57" w14:textId="02E79BFA" w:rsidR="002179A6" w:rsidRDefault="00376E5B">
    <w:pPr>
      <w:pStyle w:val="Headerorfooter0"/>
      <w:framePr w:h="216" w:wrap="none" w:vAnchor="text" w:hAnchor="page" w:x="5601" w:y="-120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62425F" w:rsidRPr="0062425F">
      <w:rPr>
        <w:rStyle w:val="Headerorfooter11pt"/>
        <w:noProof/>
      </w:rPr>
      <w:t>6</w:t>
    </w:r>
    <w:r>
      <w:rPr>
        <w:rStyle w:val="Headerorfooter11pt"/>
        <w:noProof/>
      </w:rPr>
      <w:fldChar w:fldCharType="end"/>
    </w:r>
  </w:p>
  <w:p w14:paraId="17500328" w14:textId="77777777" w:rsidR="002179A6" w:rsidRDefault="002179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2D80" w14:textId="77777777" w:rsidR="00281BDA" w:rsidRDefault="00281BDA">
      <w:r>
        <w:separator/>
      </w:r>
    </w:p>
  </w:footnote>
  <w:footnote w:type="continuationSeparator" w:id="0">
    <w:p w14:paraId="6CCD310D" w14:textId="77777777" w:rsidR="00281BDA" w:rsidRDefault="0028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9A4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49EF"/>
    <w:multiLevelType w:val="multilevel"/>
    <w:tmpl w:val="1F0448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B34A3"/>
    <w:multiLevelType w:val="multilevel"/>
    <w:tmpl w:val="DFC2994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11ACF"/>
    <w:multiLevelType w:val="hybridMultilevel"/>
    <w:tmpl w:val="565C914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C246C1"/>
    <w:multiLevelType w:val="hybridMultilevel"/>
    <w:tmpl w:val="16C254AA"/>
    <w:lvl w:ilvl="0" w:tplc="BE185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F0D30"/>
    <w:multiLevelType w:val="hybridMultilevel"/>
    <w:tmpl w:val="896C607C"/>
    <w:lvl w:ilvl="0" w:tplc="F82E9CC8">
      <w:start w:val="1"/>
      <w:numFmt w:val="decimal"/>
      <w:lvlText w:val="(%1)"/>
      <w:lvlJc w:val="left"/>
      <w:pPr>
        <w:ind w:left="58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1306AD7"/>
    <w:multiLevelType w:val="multilevel"/>
    <w:tmpl w:val="16B8F13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212121"/>
        <w:spacing w:val="-1"/>
        <w:w w:val="96"/>
        <w:position w:val="0"/>
        <w:sz w:val="24"/>
        <w:szCs w:val="24"/>
        <w:u w:val="none"/>
        <w:lang w:val="hr-HR" w:eastAsia="hr-HR" w:bidi="hr-HR"/>
      </w:rPr>
    </w:lvl>
    <w:lvl w:ilvl="1">
      <w:start w:val="17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5C3E05"/>
    <w:multiLevelType w:val="multilevel"/>
    <w:tmpl w:val="9D404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21DC0"/>
    <w:multiLevelType w:val="hybridMultilevel"/>
    <w:tmpl w:val="73668918"/>
    <w:lvl w:ilvl="0" w:tplc="B138463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9459D"/>
    <w:multiLevelType w:val="hybridMultilevel"/>
    <w:tmpl w:val="2E7E182E"/>
    <w:lvl w:ilvl="0" w:tplc="24EE0D6E">
      <w:start w:val="1"/>
      <w:numFmt w:val="decimal"/>
      <w:lvlText w:val="(%1)"/>
      <w:lvlJc w:val="left"/>
      <w:pPr>
        <w:ind w:left="473" w:hanging="360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1" w:tplc="1BEC8438">
      <w:start w:val="1"/>
      <w:numFmt w:val="decimal"/>
      <w:lvlText w:val="(%2)"/>
      <w:lvlJc w:val="left"/>
      <w:pPr>
        <w:ind w:left="563" w:hanging="355"/>
      </w:pPr>
      <w:rPr>
        <w:rFonts w:ascii="Times New Roman" w:eastAsia="Calibri" w:hAnsi="Times New Roman" w:cs="Times New Roman" w:hint="default"/>
        <w:color w:val="232323"/>
        <w:spacing w:val="-1"/>
        <w:w w:val="96"/>
        <w:sz w:val="24"/>
        <w:szCs w:val="24"/>
        <w:lang w:val="hr-HR" w:eastAsia="hr-HR" w:bidi="hr-HR"/>
      </w:rPr>
    </w:lvl>
    <w:lvl w:ilvl="2" w:tplc="F97EE3BA">
      <w:numFmt w:val="bullet"/>
      <w:lvlText w:val="•"/>
      <w:lvlJc w:val="left"/>
      <w:pPr>
        <w:ind w:left="1551" w:hanging="355"/>
      </w:pPr>
      <w:rPr>
        <w:rFonts w:hint="default"/>
        <w:lang w:val="hr-HR" w:eastAsia="hr-HR" w:bidi="hr-HR"/>
      </w:rPr>
    </w:lvl>
    <w:lvl w:ilvl="3" w:tplc="DB5847D2">
      <w:numFmt w:val="bullet"/>
      <w:lvlText w:val="•"/>
      <w:lvlJc w:val="left"/>
      <w:pPr>
        <w:ind w:left="2543" w:hanging="355"/>
      </w:pPr>
      <w:rPr>
        <w:rFonts w:hint="default"/>
        <w:lang w:val="hr-HR" w:eastAsia="hr-HR" w:bidi="hr-HR"/>
      </w:rPr>
    </w:lvl>
    <w:lvl w:ilvl="4" w:tplc="C478E6B4">
      <w:numFmt w:val="bullet"/>
      <w:lvlText w:val="•"/>
      <w:lvlJc w:val="left"/>
      <w:pPr>
        <w:ind w:left="3534" w:hanging="355"/>
      </w:pPr>
      <w:rPr>
        <w:rFonts w:hint="default"/>
        <w:lang w:val="hr-HR" w:eastAsia="hr-HR" w:bidi="hr-HR"/>
      </w:rPr>
    </w:lvl>
    <w:lvl w:ilvl="5" w:tplc="4EEC184C">
      <w:numFmt w:val="bullet"/>
      <w:lvlText w:val="•"/>
      <w:lvlJc w:val="left"/>
      <w:pPr>
        <w:ind w:left="4526" w:hanging="355"/>
      </w:pPr>
      <w:rPr>
        <w:rFonts w:hint="default"/>
        <w:lang w:val="hr-HR" w:eastAsia="hr-HR" w:bidi="hr-HR"/>
      </w:rPr>
    </w:lvl>
    <w:lvl w:ilvl="6" w:tplc="97EA5EAA">
      <w:numFmt w:val="bullet"/>
      <w:lvlText w:val="•"/>
      <w:lvlJc w:val="left"/>
      <w:pPr>
        <w:ind w:left="5517" w:hanging="355"/>
      </w:pPr>
      <w:rPr>
        <w:rFonts w:hint="default"/>
        <w:lang w:val="hr-HR" w:eastAsia="hr-HR" w:bidi="hr-HR"/>
      </w:rPr>
    </w:lvl>
    <w:lvl w:ilvl="7" w:tplc="3C04F1DC">
      <w:numFmt w:val="bullet"/>
      <w:lvlText w:val="•"/>
      <w:lvlJc w:val="left"/>
      <w:pPr>
        <w:ind w:left="6509" w:hanging="355"/>
      </w:pPr>
      <w:rPr>
        <w:rFonts w:hint="default"/>
        <w:lang w:val="hr-HR" w:eastAsia="hr-HR" w:bidi="hr-HR"/>
      </w:rPr>
    </w:lvl>
    <w:lvl w:ilvl="8" w:tplc="15ACB106">
      <w:numFmt w:val="bullet"/>
      <w:lvlText w:val="•"/>
      <w:lvlJc w:val="left"/>
      <w:pPr>
        <w:ind w:left="7500" w:hanging="355"/>
      </w:pPr>
      <w:rPr>
        <w:rFonts w:hint="default"/>
        <w:lang w:val="hr-HR" w:eastAsia="hr-HR" w:bidi="hr-HR"/>
      </w:rPr>
    </w:lvl>
  </w:abstractNum>
  <w:abstractNum w:abstractNumId="10" w15:restartNumberingAfterBreak="0">
    <w:nsid w:val="32AF200B"/>
    <w:multiLevelType w:val="multilevel"/>
    <w:tmpl w:val="20EA3A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A07DB6"/>
    <w:multiLevelType w:val="multilevel"/>
    <w:tmpl w:val="2A2052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81BBB"/>
    <w:multiLevelType w:val="hybridMultilevel"/>
    <w:tmpl w:val="0622B412"/>
    <w:lvl w:ilvl="0" w:tplc="BE1852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91A2D"/>
    <w:multiLevelType w:val="hybridMultilevel"/>
    <w:tmpl w:val="44CEF216"/>
    <w:lvl w:ilvl="0" w:tplc="37B0B06A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90D18E3"/>
    <w:multiLevelType w:val="multilevel"/>
    <w:tmpl w:val="0652C5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814B32"/>
    <w:multiLevelType w:val="hybridMultilevel"/>
    <w:tmpl w:val="E152B862"/>
    <w:lvl w:ilvl="0" w:tplc="BE185272">
      <w:numFmt w:val="bullet"/>
      <w:lvlText w:val="-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F0292"/>
    <w:multiLevelType w:val="multilevel"/>
    <w:tmpl w:val="7794D9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293AD3"/>
    <w:multiLevelType w:val="hybridMultilevel"/>
    <w:tmpl w:val="42A89780"/>
    <w:lvl w:ilvl="0" w:tplc="67DE32E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A001B">
      <w:start w:val="1"/>
      <w:numFmt w:val="lowerRoman"/>
      <w:lvlText w:val="%2."/>
      <w:lvlJc w:val="righ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6DCF7B6D"/>
    <w:multiLevelType w:val="hybridMultilevel"/>
    <w:tmpl w:val="CA8617C2"/>
    <w:lvl w:ilvl="0" w:tplc="37B0B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32BF"/>
    <w:multiLevelType w:val="hybridMultilevel"/>
    <w:tmpl w:val="0178CEF4"/>
    <w:lvl w:ilvl="0" w:tplc="788E4724">
      <w:start w:val="1"/>
      <w:numFmt w:val="decimal"/>
      <w:lvlText w:val="(%1)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12121"/>
        <w:spacing w:val="-1"/>
        <w:w w:val="96"/>
        <w:sz w:val="24"/>
        <w:szCs w:val="24"/>
        <w:lang w:val="bs-Latn" w:eastAsia="bs-Latn" w:bidi="bs-Lat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ECD5257"/>
    <w:multiLevelType w:val="multilevel"/>
    <w:tmpl w:val="49F810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"/>
  </w:num>
  <w:num w:numId="5">
    <w:abstractNumId w:val="10"/>
  </w:num>
  <w:num w:numId="6">
    <w:abstractNumId w:val="20"/>
  </w:num>
  <w:num w:numId="7">
    <w:abstractNumId w:val="14"/>
  </w:num>
  <w:num w:numId="8">
    <w:abstractNumId w:val="13"/>
  </w:num>
  <w:num w:numId="9">
    <w:abstractNumId w:val="15"/>
  </w:num>
  <w:num w:numId="10">
    <w:abstractNumId w:val="4"/>
  </w:num>
  <w:num w:numId="11">
    <w:abstractNumId w:val="5"/>
  </w:num>
  <w:num w:numId="12">
    <w:abstractNumId w:val="9"/>
  </w:num>
  <w:num w:numId="13">
    <w:abstractNumId w:val="3"/>
  </w:num>
  <w:num w:numId="14">
    <w:abstractNumId w:val="19"/>
  </w:num>
  <w:num w:numId="15">
    <w:abstractNumId w:val="6"/>
  </w:num>
  <w:num w:numId="16">
    <w:abstractNumId w:val="12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A6"/>
    <w:rsid w:val="00022374"/>
    <w:rsid w:val="00041E8C"/>
    <w:rsid w:val="00091C4D"/>
    <w:rsid w:val="000A28CE"/>
    <w:rsid w:val="000B384C"/>
    <w:rsid w:val="000C5E2F"/>
    <w:rsid w:val="000E6016"/>
    <w:rsid w:val="00104AA5"/>
    <w:rsid w:val="00111FCB"/>
    <w:rsid w:val="0011680B"/>
    <w:rsid w:val="00121FFE"/>
    <w:rsid w:val="001411FB"/>
    <w:rsid w:val="00170D80"/>
    <w:rsid w:val="00190154"/>
    <w:rsid w:val="001B0818"/>
    <w:rsid w:val="001B1AA2"/>
    <w:rsid w:val="001B30DD"/>
    <w:rsid w:val="001C44FD"/>
    <w:rsid w:val="001E3931"/>
    <w:rsid w:val="001E48AD"/>
    <w:rsid w:val="002023F9"/>
    <w:rsid w:val="002179A6"/>
    <w:rsid w:val="002274AF"/>
    <w:rsid w:val="0024538E"/>
    <w:rsid w:val="002555B0"/>
    <w:rsid w:val="002666CD"/>
    <w:rsid w:val="00281BDA"/>
    <w:rsid w:val="002846AC"/>
    <w:rsid w:val="002A619E"/>
    <w:rsid w:val="002B6908"/>
    <w:rsid w:val="002E692E"/>
    <w:rsid w:val="002F3B16"/>
    <w:rsid w:val="00312CF3"/>
    <w:rsid w:val="00315B0C"/>
    <w:rsid w:val="00325D47"/>
    <w:rsid w:val="0033154F"/>
    <w:rsid w:val="003576C8"/>
    <w:rsid w:val="0036450F"/>
    <w:rsid w:val="00376E5B"/>
    <w:rsid w:val="003B5E23"/>
    <w:rsid w:val="003C32B6"/>
    <w:rsid w:val="003E0AF7"/>
    <w:rsid w:val="003E6284"/>
    <w:rsid w:val="003F6651"/>
    <w:rsid w:val="003F7168"/>
    <w:rsid w:val="00403EEE"/>
    <w:rsid w:val="00414ED8"/>
    <w:rsid w:val="004221FE"/>
    <w:rsid w:val="004B37C1"/>
    <w:rsid w:val="004B4D15"/>
    <w:rsid w:val="004E16A7"/>
    <w:rsid w:val="004E3367"/>
    <w:rsid w:val="004F363B"/>
    <w:rsid w:val="00504878"/>
    <w:rsid w:val="00583152"/>
    <w:rsid w:val="00583204"/>
    <w:rsid w:val="005C23DB"/>
    <w:rsid w:val="005C7396"/>
    <w:rsid w:val="005F534A"/>
    <w:rsid w:val="00616B3B"/>
    <w:rsid w:val="00616C12"/>
    <w:rsid w:val="006220D1"/>
    <w:rsid w:val="0062425F"/>
    <w:rsid w:val="00636282"/>
    <w:rsid w:val="00650A13"/>
    <w:rsid w:val="006B50E9"/>
    <w:rsid w:val="006B5927"/>
    <w:rsid w:val="006C643E"/>
    <w:rsid w:val="006D272A"/>
    <w:rsid w:val="006E5692"/>
    <w:rsid w:val="00717D09"/>
    <w:rsid w:val="00731215"/>
    <w:rsid w:val="00733BF0"/>
    <w:rsid w:val="0073614A"/>
    <w:rsid w:val="00745319"/>
    <w:rsid w:val="00745EE5"/>
    <w:rsid w:val="00746F49"/>
    <w:rsid w:val="00747AEC"/>
    <w:rsid w:val="00757AEA"/>
    <w:rsid w:val="00766B6D"/>
    <w:rsid w:val="00772031"/>
    <w:rsid w:val="00783435"/>
    <w:rsid w:val="007877BF"/>
    <w:rsid w:val="007B5EBB"/>
    <w:rsid w:val="00821DFB"/>
    <w:rsid w:val="00832ED5"/>
    <w:rsid w:val="0088073D"/>
    <w:rsid w:val="008A20F9"/>
    <w:rsid w:val="008B0903"/>
    <w:rsid w:val="008C3E92"/>
    <w:rsid w:val="008D649E"/>
    <w:rsid w:val="008E0DC5"/>
    <w:rsid w:val="00907FA8"/>
    <w:rsid w:val="00913B46"/>
    <w:rsid w:val="00943A9E"/>
    <w:rsid w:val="00943F4A"/>
    <w:rsid w:val="00947CD0"/>
    <w:rsid w:val="0096693F"/>
    <w:rsid w:val="00984A21"/>
    <w:rsid w:val="009853FF"/>
    <w:rsid w:val="009A54CD"/>
    <w:rsid w:val="009C13AF"/>
    <w:rsid w:val="009D2734"/>
    <w:rsid w:val="009D5427"/>
    <w:rsid w:val="009F4E83"/>
    <w:rsid w:val="00A2603C"/>
    <w:rsid w:val="00A359F8"/>
    <w:rsid w:val="00A442FE"/>
    <w:rsid w:val="00A47BC2"/>
    <w:rsid w:val="00A522FE"/>
    <w:rsid w:val="00A71184"/>
    <w:rsid w:val="00A724EB"/>
    <w:rsid w:val="00AB46E7"/>
    <w:rsid w:val="00AC0EA8"/>
    <w:rsid w:val="00AF77B0"/>
    <w:rsid w:val="00B16328"/>
    <w:rsid w:val="00B25B46"/>
    <w:rsid w:val="00B41CF2"/>
    <w:rsid w:val="00B516D8"/>
    <w:rsid w:val="00B650B4"/>
    <w:rsid w:val="00B6726F"/>
    <w:rsid w:val="00B82E4E"/>
    <w:rsid w:val="00BA0263"/>
    <w:rsid w:val="00BA5200"/>
    <w:rsid w:val="00BB582A"/>
    <w:rsid w:val="00BB7B19"/>
    <w:rsid w:val="00BE64D8"/>
    <w:rsid w:val="00BF11E1"/>
    <w:rsid w:val="00BF5D52"/>
    <w:rsid w:val="00BF7DFE"/>
    <w:rsid w:val="00C22F0A"/>
    <w:rsid w:val="00C23013"/>
    <w:rsid w:val="00C30AF2"/>
    <w:rsid w:val="00C31869"/>
    <w:rsid w:val="00C328EC"/>
    <w:rsid w:val="00C36488"/>
    <w:rsid w:val="00C40488"/>
    <w:rsid w:val="00C55EF6"/>
    <w:rsid w:val="00C5659B"/>
    <w:rsid w:val="00C734E2"/>
    <w:rsid w:val="00C741F9"/>
    <w:rsid w:val="00C803BA"/>
    <w:rsid w:val="00CE2098"/>
    <w:rsid w:val="00CF7C0F"/>
    <w:rsid w:val="00D01F04"/>
    <w:rsid w:val="00D024BA"/>
    <w:rsid w:val="00D53956"/>
    <w:rsid w:val="00D61CF8"/>
    <w:rsid w:val="00D67172"/>
    <w:rsid w:val="00D80AE2"/>
    <w:rsid w:val="00D95ED3"/>
    <w:rsid w:val="00DB3176"/>
    <w:rsid w:val="00DB6B29"/>
    <w:rsid w:val="00DD4961"/>
    <w:rsid w:val="00DF35F7"/>
    <w:rsid w:val="00E018BD"/>
    <w:rsid w:val="00E21E3B"/>
    <w:rsid w:val="00E23AE1"/>
    <w:rsid w:val="00E3314A"/>
    <w:rsid w:val="00E4149F"/>
    <w:rsid w:val="00E66401"/>
    <w:rsid w:val="00E92FB1"/>
    <w:rsid w:val="00E94B23"/>
    <w:rsid w:val="00EA69C0"/>
    <w:rsid w:val="00EC320B"/>
    <w:rsid w:val="00ED677B"/>
    <w:rsid w:val="00EE0001"/>
    <w:rsid w:val="00EE311B"/>
    <w:rsid w:val="00EE692F"/>
    <w:rsid w:val="00F02143"/>
    <w:rsid w:val="00F07E13"/>
    <w:rsid w:val="00F30225"/>
    <w:rsid w:val="00F37CA2"/>
    <w:rsid w:val="00F50014"/>
    <w:rsid w:val="00F56279"/>
    <w:rsid w:val="00F818BE"/>
    <w:rsid w:val="00F828DE"/>
    <w:rsid w:val="00F90152"/>
    <w:rsid w:val="00F93F8A"/>
    <w:rsid w:val="00FB36EC"/>
    <w:rsid w:val="00FB6497"/>
    <w:rsid w:val="00FB7DED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59B"/>
  <w15:docId w15:val="{7A5EC239-EBB8-4FF8-B42E-9E9ECFD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665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9A6"/>
    <w:rPr>
      <w:color w:val="0066CC"/>
      <w:u w:val="single"/>
    </w:rPr>
  </w:style>
  <w:style w:type="character" w:customStyle="1" w:styleId="Footnote2">
    <w:name w:val="Footnote (2)_"/>
    <w:basedOn w:val="DefaultParagraphFont"/>
    <w:link w:val="Footnote20"/>
    <w:rsid w:val="002179A6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2179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otnote3">
    <w:name w:val="Footnote (3)_"/>
    <w:basedOn w:val="DefaultParagraphFont"/>
    <w:link w:val="Footnote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rcode">
    <w:name w:val="Barcode_"/>
    <w:basedOn w:val="DefaultParagraphFont"/>
    <w:link w:val="Barcode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21">
    <w:name w:val="Body text (2)"/>
    <w:basedOn w:val="Bodytext2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5"/>
      <w:szCs w:val="105"/>
    </w:rPr>
  </w:style>
  <w:style w:type="character" w:customStyle="1" w:styleId="Bodytext3">
    <w:name w:val="Body text (3)_"/>
    <w:basedOn w:val="DefaultParagraphFont"/>
    <w:link w:val="Bodytext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Bodytext4">
    <w:name w:val="Body text (4)_"/>
    <w:basedOn w:val="DefaultParagraphFont"/>
    <w:link w:val="Bodytext4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Tijeloteksta4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DefaultParagraphFont"/>
    <w:link w:val="Headerorfooter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">
    <w:name w:val="Heading #2_"/>
    <w:basedOn w:val="DefaultParagraphFont"/>
    <w:link w:val="Heading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Heading2115ptNotItalicSpacing0pt">
    <w:name w:val="Heading #2 + 11;5 pt;Not Italic;Spacing 0 pt"/>
    <w:basedOn w:val="Heading2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Heading22">
    <w:name w:val="Heading #2 (2)_"/>
    <w:basedOn w:val="DefaultParagraphFont"/>
    <w:link w:val="Heading2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">
    <w:name w:val="Heading #3_"/>
    <w:basedOn w:val="DefaultParagraphFont"/>
    <w:link w:val="Heading3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1">
    <w:name w:val="Tijelo teksta1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0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NotBold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BoldItalicSpacing0pt">
    <w:name w:val="Body text + 12 pt;Bold;Italic;Spacing 0 pt"/>
    <w:basedOn w:val="Bodytext"/>
    <w:rsid w:val="002179A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</w:rPr>
  </w:style>
  <w:style w:type="character" w:customStyle="1" w:styleId="Bodytext12ptItalic0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Bold1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2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3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DefaultParagraphFont"/>
    <w:link w:val="Bodytext5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Bodytext12ptItalic1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4NotBold0">
    <w:name w:val="Body text (4) + Not Bold"/>
    <w:basedOn w:val="Bodytext4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4">
    <w:name w:val="Body text + Bold"/>
    <w:basedOn w:val="Bodytext"/>
    <w:rsid w:val="00217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2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2">
    <w:name w:val="Tijelo teksta2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1">
    <w:name w:val="Heading #3"/>
    <w:basedOn w:val="Heading3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2ptItalic3">
    <w:name w:val="Body text + 12 pt;Italic"/>
    <w:basedOn w:val="Bodytext"/>
    <w:rsid w:val="00217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ijeloteksta3">
    <w:name w:val="Tijelo teksta3"/>
    <w:basedOn w:val="Bodytext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DefaultParagraphFont"/>
    <w:link w:val="Bodytext6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1">
    <w:name w:val="Body text (6)"/>
    <w:basedOn w:val="Bodytext6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2">
    <w:name w:val="Heading #3 (2)_"/>
    <w:basedOn w:val="DefaultParagraphFont"/>
    <w:link w:val="Heading320"/>
    <w:rsid w:val="00217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rsid w:val="002179A6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Footnote0">
    <w:name w:val="Footnote"/>
    <w:basedOn w:val="Normal"/>
    <w:link w:val="Footnote"/>
    <w:rsid w:val="002179A6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Footnote30">
    <w:name w:val="Footnote (3)"/>
    <w:basedOn w:val="Normal"/>
    <w:link w:val="Footnote3"/>
    <w:rsid w:val="002179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arcode0">
    <w:name w:val="Barcode"/>
    <w:basedOn w:val="Normal"/>
    <w:link w:val="Barcode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2179A6"/>
    <w:pPr>
      <w:shd w:val="clear" w:color="auto" w:fill="FFFFFF"/>
      <w:spacing w:before="3180" w:after="1260" w:line="0" w:lineRule="atLeast"/>
      <w:jc w:val="center"/>
    </w:pPr>
    <w:rPr>
      <w:rFonts w:ascii="Times New Roman" w:eastAsia="Times New Roman" w:hAnsi="Times New Roman" w:cs="Times New Roman"/>
      <w:spacing w:val="-80"/>
      <w:sz w:val="105"/>
      <w:szCs w:val="105"/>
    </w:rPr>
  </w:style>
  <w:style w:type="paragraph" w:customStyle="1" w:styleId="Bodytext30">
    <w:name w:val="Body text (3)"/>
    <w:basedOn w:val="Normal"/>
    <w:link w:val="Bodytext3"/>
    <w:rsid w:val="002179A6"/>
    <w:pPr>
      <w:shd w:val="clear" w:color="auto" w:fill="FFFFFF"/>
      <w:spacing w:before="1260" w:after="660" w:line="0" w:lineRule="atLeast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Bodytext40">
    <w:name w:val="Body text (4)"/>
    <w:basedOn w:val="Normal"/>
    <w:link w:val="Bodytext4"/>
    <w:rsid w:val="002179A6"/>
    <w:pPr>
      <w:shd w:val="clear" w:color="auto" w:fill="FFFFFF"/>
      <w:spacing w:before="4200" w:line="0" w:lineRule="atLeast"/>
      <w:ind w:hanging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jeloteksta4">
    <w:name w:val="Tijelo teksta4"/>
    <w:basedOn w:val="Normal"/>
    <w:link w:val="Bodytext"/>
    <w:rsid w:val="002179A6"/>
    <w:pPr>
      <w:shd w:val="clear" w:color="auto" w:fill="FFFFFF"/>
      <w:spacing w:after="540" w:line="274" w:lineRule="exact"/>
      <w:ind w:hanging="6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Normal"/>
    <w:link w:val="Headerorfooter"/>
    <w:rsid w:val="002179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2179A6"/>
    <w:pPr>
      <w:shd w:val="clear" w:color="auto" w:fill="FFFFFF"/>
      <w:spacing w:before="540" w:after="4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0">
    <w:name w:val="Heading #2"/>
    <w:basedOn w:val="Normal"/>
    <w:link w:val="Heading2"/>
    <w:rsid w:val="002179A6"/>
    <w:pPr>
      <w:shd w:val="clear" w:color="auto" w:fill="FFFFFF"/>
      <w:spacing w:before="480" w:after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Heading220">
    <w:name w:val="Heading #2 (2)"/>
    <w:basedOn w:val="Normal"/>
    <w:link w:val="Heading22"/>
    <w:rsid w:val="002179A6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0">
    <w:name w:val="Heading #3"/>
    <w:basedOn w:val="Normal"/>
    <w:link w:val="Heading3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50">
    <w:name w:val="Body text (5)"/>
    <w:basedOn w:val="Normal"/>
    <w:link w:val="Bodytext5"/>
    <w:rsid w:val="002179A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Bodytext60">
    <w:name w:val="Body text (6)"/>
    <w:basedOn w:val="Normal"/>
    <w:link w:val="Bodytext6"/>
    <w:rsid w:val="002179A6"/>
    <w:pPr>
      <w:shd w:val="clear" w:color="auto" w:fill="FFFFFF"/>
      <w:spacing w:line="274" w:lineRule="exac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20">
    <w:name w:val="Heading #3 (2)"/>
    <w:basedOn w:val="Normal"/>
    <w:link w:val="Heading32"/>
    <w:rsid w:val="002179A6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E21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E3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1E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E3B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B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B1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B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25B46"/>
    <w:pPr>
      <w:ind w:left="720"/>
      <w:contextualSpacing/>
    </w:pPr>
  </w:style>
  <w:style w:type="table" w:styleId="TableGrid">
    <w:name w:val="Table Grid"/>
    <w:basedOn w:val="TableNormal"/>
    <w:uiPriority w:val="39"/>
    <w:rsid w:val="00B25B46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3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0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A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A13"/>
    <w:rPr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170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-kulture.gov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43FE-720B-42CE-BB6A-10E4B9D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Nina Perko</cp:lastModifiedBy>
  <cp:revision>2</cp:revision>
  <cp:lastPrinted>2021-06-01T14:44:00Z</cp:lastPrinted>
  <dcterms:created xsi:type="dcterms:W3CDTF">2021-06-30T06:13:00Z</dcterms:created>
  <dcterms:modified xsi:type="dcterms:W3CDTF">2021-06-30T06:13:00Z</dcterms:modified>
</cp:coreProperties>
</file>